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108F" w14:textId="77777777" w:rsidR="00294D69"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Submissions</w:t>
      </w:r>
    </w:p>
    <w:p w14:paraId="483333F6" w14:textId="77777777" w:rsidR="00294D69"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Electricity Authority</w:t>
      </w:r>
    </w:p>
    <w:p w14:paraId="6F5D4180" w14:textId="77777777" w:rsidR="00294D69"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PO Box 10041</w:t>
      </w:r>
    </w:p>
    <w:p w14:paraId="77E3F7AE" w14:textId="55B99B2B" w:rsidR="00CF7736"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Wellington 6143</w:t>
      </w:r>
    </w:p>
    <w:p w14:paraId="4C82AB52" w14:textId="4BF33571" w:rsidR="00294D69" w:rsidRPr="002202DB" w:rsidRDefault="00294D69" w:rsidP="00294D69">
      <w:pPr>
        <w:spacing w:after="0" w:line="276" w:lineRule="auto"/>
        <w:rPr>
          <w:rFonts w:asciiTheme="minorHAnsi" w:hAnsiTheme="minorHAnsi" w:cstheme="minorHAnsi"/>
          <w:sz w:val="22"/>
          <w:szCs w:val="22"/>
          <w:lang w:val="en-AU"/>
        </w:rPr>
      </w:pPr>
    </w:p>
    <w:p w14:paraId="4C5602EC" w14:textId="6AE18110" w:rsidR="00294D69"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 xml:space="preserve">c/o </w:t>
      </w:r>
      <w:hyperlink r:id="rId11" w:history="1">
        <w:r w:rsidRPr="002202DB">
          <w:rPr>
            <w:rStyle w:val="Hyperlink"/>
            <w:rFonts w:asciiTheme="minorHAnsi" w:hAnsiTheme="minorHAnsi" w:cstheme="minorHAnsi"/>
            <w:sz w:val="22"/>
            <w:szCs w:val="22"/>
            <w:lang w:val="en-AU"/>
          </w:rPr>
          <w:t>submissions@ea.govt.nz</w:t>
        </w:r>
      </w:hyperlink>
    </w:p>
    <w:p w14:paraId="3BB3C861" w14:textId="682145A3" w:rsidR="00294D69" w:rsidRPr="002202DB" w:rsidRDefault="00294D69" w:rsidP="00294D69">
      <w:pPr>
        <w:spacing w:after="0" w:line="276" w:lineRule="auto"/>
        <w:rPr>
          <w:rFonts w:asciiTheme="minorHAnsi" w:hAnsiTheme="minorHAnsi" w:cstheme="minorHAnsi"/>
          <w:sz w:val="22"/>
          <w:szCs w:val="22"/>
          <w:lang w:val="en-AU"/>
        </w:rPr>
      </w:pPr>
    </w:p>
    <w:p w14:paraId="5F795DBF" w14:textId="7098FE40" w:rsidR="00294D69"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15</w:t>
      </w:r>
      <w:r w:rsidRPr="002202DB">
        <w:rPr>
          <w:rFonts w:asciiTheme="minorHAnsi" w:hAnsiTheme="minorHAnsi" w:cstheme="minorHAnsi"/>
          <w:sz w:val="22"/>
          <w:szCs w:val="22"/>
          <w:vertAlign w:val="superscript"/>
          <w:lang w:val="en-AU"/>
        </w:rPr>
        <w:t>th</w:t>
      </w:r>
      <w:r w:rsidRPr="002202DB">
        <w:rPr>
          <w:rFonts w:asciiTheme="minorHAnsi" w:hAnsiTheme="minorHAnsi" w:cstheme="minorHAnsi"/>
          <w:sz w:val="22"/>
          <w:szCs w:val="22"/>
          <w:lang w:val="en-AU"/>
        </w:rPr>
        <w:t xml:space="preserve"> October 2019</w:t>
      </w:r>
    </w:p>
    <w:p w14:paraId="385EC986" w14:textId="2765DF4A" w:rsidR="00294D69" w:rsidRPr="002202DB" w:rsidRDefault="00294D69" w:rsidP="00294D69">
      <w:pPr>
        <w:spacing w:after="0" w:line="276" w:lineRule="auto"/>
        <w:rPr>
          <w:rFonts w:asciiTheme="minorHAnsi" w:hAnsiTheme="minorHAnsi" w:cstheme="minorHAnsi"/>
          <w:sz w:val="22"/>
          <w:szCs w:val="22"/>
          <w:lang w:val="en-AU"/>
        </w:rPr>
      </w:pPr>
    </w:p>
    <w:p w14:paraId="0A33E9E9" w14:textId="494802C0" w:rsidR="00294D69" w:rsidRPr="002202DB" w:rsidRDefault="00294D69" w:rsidP="00294D69">
      <w:pPr>
        <w:spacing w:after="0" w:line="276"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t>To whom it may concern,</w:t>
      </w:r>
    </w:p>
    <w:p w14:paraId="6A9E6C78" w14:textId="5AB426F0" w:rsidR="00294D69" w:rsidRPr="002202DB" w:rsidRDefault="00294D69" w:rsidP="00294D69">
      <w:pPr>
        <w:spacing w:after="0" w:line="276" w:lineRule="auto"/>
        <w:rPr>
          <w:rFonts w:asciiTheme="minorHAnsi" w:hAnsiTheme="minorHAnsi" w:cstheme="minorHAnsi"/>
          <w:sz w:val="22"/>
          <w:szCs w:val="22"/>
          <w:lang w:val="en-AU"/>
        </w:rPr>
      </w:pPr>
    </w:p>
    <w:p w14:paraId="4C469BE1" w14:textId="6BA26421" w:rsidR="00294D69" w:rsidRPr="002202DB" w:rsidRDefault="00294D69" w:rsidP="00294D69">
      <w:pPr>
        <w:spacing w:after="0" w:line="276" w:lineRule="auto"/>
        <w:jc w:val="center"/>
        <w:rPr>
          <w:rFonts w:asciiTheme="minorHAnsi" w:hAnsiTheme="minorHAnsi" w:cstheme="minorHAnsi"/>
          <w:sz w:val="22"/>
          <w:szCs w:val="22"/>
          <w:u w:val="single"/>
          <w:lang w:val="en-AU"/>
        </w:rPr>
      </w:pPr>
      <w:r w:rsidRPr="002202DB">
        <w:rPr>
          <w:rFonts w:asciiTheme="minorHAnsi" w:hAnsiTheme="minorHAnsi" w:cstheme="minorHAnsi"/>
          <w:b/>
          <w:bCs/>
          <w:sz w:val="22"/>
          <w:szCs w:val="22"/>
          <w:lang w:val="en-AU"/>
        </w:rPr>
        <w:t xml:space="preserve">ENA submission to Electricity Authority </w:t>
      </w:r>
      <w:r w:rsidRPr="002202DB">
        <w:rPr>
          <w:rFonts w:asciiTheme="minorHAnsi" w:hAnsiTheme="minorHAnsi" w:cstheme="minorHAnsi"/>
          <w:b/>
          <w:bCs/>
          <w:i/>
          <w:iCs/>
          <w:sz w:val="22"/>
          <w:szCs w:val="22"/>
          <w:lang w:val="en-AU"/>
        </w:rPr>
        <w:t>Code amendment proposal: Default Distributor Agreement</w:t>
      </w:r>
      <w:r w:rsidRPr="002202DB">
        <w:rPr>
          <w:rFonts w:asciiTheme="minorHAnsi" w:hAnsiTheme="minorHAnsi" w:cstheme="minorHAnsi"/>
          <w:b/>
          <w:bCs/>
          <w:sz w:val="22"/>
          <w:szCs w:val="22"/>
          <w:lang w:val="en-AU"/>
        </w:rPr>
        <w:t xml:space="preserve"> consultation</w:t>
      </w:r>
    </w:p>
    <w:p w14:paraId="11EC639B" w14:textId="34B5F2B9" w:rsidR="00294D69" w:rsidRPr="002202DB" w:rsidRDefault="00294D69" w:rsidP="00294D69">
      <w:pPr>
        <w:spacing w:after="0" w:line="276" w:lineRule="auto"/>
        <w:rPr>
          <w:rFonts w:asciiTheme="minorHAnsi" w:hAnsiTheme="minorHAnsi" w:cstheme="minorHAnsi"/>
          <w:sz w:val="22"/>
          <w:szCs w:val="22"/>
          <w:lang w:val="en-AU"/>
        </w:rPr>
      </w:pPr>
    </w:p>
    <w:p w14:paraId="1D50C120" w14:textId="77777777" w:rsidR="00855BBB" w:rsidRPr="002202DB" w:rsidRDefault="00855BBB" w:rsidP="002D1E0F">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The Electricity Networks Association (ENA) appreciates the opportunity to make a submission to the Electricity Authority (the Authority) consultation on “Code amendment proposal: Default Distributor Agreement”.</w:t>
      </w:r>
    </w:p>
    <w:p w14:paraId="2EE7980E" w14:textId="6A7F64BA" w:rsidR="00855BBB" w:rsidRPr="002202DB" w:rsidRDefault="00855BBB" w:rsidP="002D1E0F">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ENA represents the 27 electricity distribution businesses (EDBs) in New Zealand (see Appendix A) who own and operate the local electricity lines that are critical to the well-being of communities throughout the country. ENA’s submission is on behalf of </w:t>
      </w:r>
      <w:r w:rsidR="008F0C03">
        <w:rPr>
          <w:rFonts w:asciiTheme="minorHAnsi" w:hAnsiTheme="minorHAnsi" w:cstheme="minorHAnsi"/>
          <w:sz w:val="22"/>
          <w:szCs w:val="22"/>
          <w:lang w:val="en-NZ"/>
        </w:rPr>
        <w:t>our</w:t>
      </w:r>
      <w:r w:rsidRPr="002202DB">
        <w:rPr>
          <w:rFonts w:asciiTheme="minorHAnsi" w:hAnsiTheme="minorHAnsi" w:cstheme="minorHAnsi"/>
          <w:sz w:val="22"/>
          <w:szCs w:val="22"/>
          <w:lang w:val="en-NZ"/>
        </w:rPr>
        <w:t xml:space="preserve"> members and in addition to any individual submissions that they may make.</w:t>
      </w:r>
    </w:p>
    <w:p w14:paraId="5A17EBA1" w14:textId="54D32ADC" w:rsidR="00855BBB" w:rsidRPr="002202DB" w:rsidRDefault="00855BBB" w:rsidP="002D1E0F">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ENA accepts that the Authority may introduce a Default Distributor Agreement to govern the relationship between traders and distributors with respect to the provision of distribution services. However, we have many concerns with the proposed drafting of the Default Distributor Agreement and associated Code amendments (hereafter referred to collectively as the DDA) contained in the consultation material. We urge the Authority to consider our comments, and those of our members, carefully, as it may be very difficult to </w:t>
      </w:r>
      <w:r w:rsidR="009945E9">
        <w:rPr>
          <w:rFonts w:asciiTheme="minorHAnsi" w:hAnsiTheme="minorHAnsi" w:cstheme="minorHAnsi"/>
          <w:sz w:val="22"/>
          <w:szCs w:val="22"/>
          <w:lang w:val="en-NZ"/>
        </w:rPr>
        <w:t>address</w:t>
      </w:r>
      <w:r w:rsidRPr="002202DB">
        <w:rPr>
          <w:rFonts w:asciiTheme="minorHAnsi" w:hAnsiTheme="minorHAnsi" w:cstheme="minorHAnsi"/>
          <w:sz w:val="22"/>
          <w:szCs w:val="22"/>
          <w:lang w:val="en-NZ"/>
        </w:rPr>
        <w:t xml:space="preserve"> errors or omissions once the DDA comes into effect.</w:t>
      </w:r>
    </w:p>
    <w:p w14:paraId="2F4998EC" w14:textId="736208C9" w:rsidR="00855BBB" w:rsidRPr="002202DB" w:rsidRDefault="00855BBB" w:rsidP="002D1E0F">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Because of the significance of the Authority’s proposals, we strongly encourage the Authority to run a two-stage consultation process and allow cross-submissions from interested parties following this first stage. This will help to ensure that any inadvertent errors or oversights in the DDA drafting can be identified and amended prior to the proposals coming into effect in the Code.</w:t>
      </w:r>
    </w:p>
    <w:p w14:paraId="357C5A38" w14:textId="3E5F6F2E" w:rsidR="00855BBB" w:rsidRPr="002202DB" w:rsidRDefault="00855BBB" w:rsidP="002D1E0F">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We have limited our comments and proposed amendments to the most important issues that we consider are essential to achieving the Authority’s objectives and ensuring that the DDA functions </w:t>
      </w:r>
      <w:r w:rsidRPr="002202DB">
        <w:rPr>
          <w:rFonts w:asciiTheme="minorHAnsi" w:hAnsiTheme="minorHAnsi" w:cstheme="minorHAnsi"/>
          <w:sz w:val="22"/>
          <w:szCs w:val="22"/>
          <w:lang w:val="en-NZ"/>
        </w:rPr>
        <w:lastRenderedPageBreak/>
        <w:t>efficiently and in the interests of all market participants. We have grouped our comments and amendments under the following themes:</w:t>
      </w:r>
    </w:p>
    <w:p w14:paraId="7E9DF0EE" w14:textId="61ADF755" w:rsidR="00855BBB" w:rsidRPr="002202DB" w:rsidRDefault="00855BBB" w:rsidP="0086159E">
      <w:pPr>
        <w:pStyle w:val="ListParagraph"/>
        <w:numPr>
          <w:ilvl w:val="0"/>
          <w:numId w:val="11"/>
        </w:numPr>
        <w:spacing w:after="160" w:line="276" w:lineRule="auto"/>
        <w:ind w:left="714" w:hanging="357"/>
        <w:rPr>
          <w:rFonts w:asciiTheme="minorHAnsi" w:hAnsiTheme="minorHAnsi" w:cstheme="minorHAnsi"/>
          <w:sz w:val="22"/>
          <w:szCs w:val="22"/>
          <w:lang w:val="en-NZ"/>
        </w:rPr>
      </w:pPr>
      <w:r w:rsidRPr="002202DB">
        <w:rPr>
          <w:rFonts w:asciiTheme="minorHAnsi" w:hAnsiTheme="minorHAnsi" w:cstheme="minorHAnsi"/>
          <w:b/>
          <w:bCs/>
          <w:sz w:val="22"/>
          <w:szCs w:val="22"/>
          <w:lang w:val="en-NZ"/>
        </w:rPr>
        <w:t>Contract formation, variation and termination</w:t>
      </w:r>
      <w:r w:rsidRPr="002202DB">
        <w:rPr>
          <w:rFonts w:asciiTheme="minorHAnsi" w:hAnsiTheme="minorHAnsi" w:cstheme="minorHAnsi"/>
          <w:sz w:val="22"/>
          <w:szCs w:val="22"/>
          <w:lang w:val="en-NZ"/>
        </w:rPr>
        <w:t xml:space="preserve"> – No contract is designed to last forever.</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Circumstances and the parties’ requirements will change over time.</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In an unregulated environment, parties manage these risks through specified contractual terms and provisions relating to amendment, termination and renewal.</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In a regulated environment, where parties are required to offer to contract on regulated terms, it is important to consider how these risks will be managed.</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As currently drafted, Part 12A contemplates evergreen contracts with limited options for updating and revision.</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This creates unacceptable risks to all market participants and means there will be inevitable variance between the practical commercial realities on the ground and the distribution agreements that are in force.</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 xml:space="preserve">We have therefore proposed </w:t>
      </w:r>
      <w:proofErr w:type="gramStart"/>
      <w:r w:rsidRPr="002202DB">
        <w:rPr>
          <w:rFonts w:asciiTheme="minorHAnsi" w:hAnsiTheme="minorHAnsi" w:cstheme="minorHAnsi"/>
          <w:sz w:val="22"/>
          <w:szCs w:val="22"/>
          <w:lang w:val="en-NZ"/>
        </w:rPr>
        <w:t>a number of</w:t>
      </w:r>
      <w:proofErr w:type="gramEnd"/>
      <w:r w:rsidRPr="002202DB">
        <w:rPr>
          <w:rFonts w:asciiTheme="minorHAnsi" w:hAnsiTheme="minorHAnsi" w:cstheme="minorHAnsi"/>
          <w:sz w:val="22"/>
          <w:szCs w:val="22"/>
          <w:lang w:val="en-NZ"/>
        </w:rPr>
        <w:t xml:space="preserve"> targeted safeguards to ensure that distribution agreements can evolve appropriately, within the overall structure of a regulated must-offer standard contract.</w:t>
      </w:r>
    </w:p>
    <w:p w14:paraId="0C30CB75" w14:textId="36955640" w:rsidR="00855BBB" w:rsidRPr="002202DB" w:rsidRDefault="00855BBB" w:rsidP="0086159E">
      <w:pPr>
        <w:pStyle w:val="ListParagraph"/>
        <w:numPr>
          <w:ilvl w:val="0"/>
          <w:numId w:val="11"/>
        </w:numPr>
        <w:spacing w:after="160" w:line="276" w:lineRule="auto"/>
        <w:ind w:left="714" w:hanging="357"/>
        <w:rPr>
          <w:rFonts w:asciiTheme="minorHAnsi" w:hAnsiTheme="minorHAnsi" w:cstheme="minorHAnsi"/>
          <w:sz w:val="22"/>
          <w:szCs w:val="22"/>
          <w:lang w:val="en-NZ"/>
        </w:rPr>
      </w:pPr>
      <w:r w:rsidRPr="002202DB">
        <w:rPr>
          <w:rFonts w:asciiTheme="minorHAnsi" w:hAnsiTheme="minorHAnsi" w:cstheme="minorHAnsi"/>
          <w:b/>
          <w:bCs/>
          <w:sz w:val="22"/>
          <w:szCs w:val="22"/>
          <w:lang w:val="en-NZ"/>
        </w:rPr>
        <w:t>Risk management</w:t>
      </w:r>
      <w:r w:rsidRPr="002202DB">
        <w:rPr>
          <w:rFonts w:asciiTheme="minorHAnsi" w:hAnsiTheme="minorHAnsi" w:cstheme="minorHAnsi"/>
          <w:sz w:val="22"/>
          <w:szCs w:val="22"/>
          <w:lang w:val="en-NZ"/>
        </w:rPr>
        <w:t xml:space="preserve"> – In the proposed drafting of the DDA, the Authority has presumed to determine the appropriate balance of risk and liability between EDBs and traders. This is a significant intervention for the Authority to make and should be undertaken with the utmost care and caution.</w:t>
      </w:r>
      <w:r w:rsidR="00A96461">
        <w:rPr>
          <w:rFonts w:asciiTheme="minorHAnsi" w:hAnsiTheme="minorHAnsi" w:cstheme="minorHAnsi"/>
          <w:sz w:val="22"/>
          <w:szCs w:val="22"/>
          <w:lang w:val="en-NZ"/>
        </w:rPr>
        <w:t xml:space="preserve"> </w:t>
      </w:r>
      <w:proofErr w:type="gramStart"/>
      <w:r w:rsidRPr="002202DB">
        <w:rPr>
          <w:rFonts w:asciiTheme="minorHAnsi" w:hAnsiTheme="minorHAnsi" w:cstheme="minorHAnsi"/>
          <w:sz w:val="22"/>
          <w:szCs w:val="22"/>
          <w:lang w:val="en-NZ"/>
        </w:rPr>
        <w:t>As a general rule</w:t>
      </w:r>
      <w:proofErr w:type="gramEnd"/>
      <w:r w:rsidRPr="002202DB">
        <w:rPr>
          <w:rFonts w:asciiTheme="minorHAnsi" w:hAnsiTheme="minorHAnsi" w:cstheme="minorHAnsi"/>
          <w:sz w:val="22"/>
          <w:szCs w:val="22"/>
          <w:lang w:val="en-NZ"/>
        </w:rPr>
        <w:t>, risk should be allocated to the party best able to bear it. The Authority has failed to set this balance correctly in the current DDA drafting.</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The consequence is that the costs associated with these risks will be borne by consumers through regulated distribution prices.</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We have therefore made targeted comments relating particularly to prudential and indemnity arrangements to ensure an appropriate allocation of risk.</w:t>
      </w:r>
    </w:p>
    <w:p w14:paraId="46F9F7AF" w14:textId="4946F0C3" w:rsidR="00855BBB" w:rsidRPr="002202DB" w:rsidRDefault="00855BBB" w:rsidP="0086159E">
      <w:pPr>
        <w:pStyle w:val="ListParagraph"/>
        <w:numPr>
          <w:ilvl w:val="0"/>
          <w:numId w:val="11"/>
        </w:numPr>
        <w:spacing w:after="160" w:line="276" w:lineRule="auto"/>
        <w:ind w:left="714" w:hanging="357"/>
        <w:rPr>
          <w:rFonts w:asciiTheme="minorHAnsi" w:hAnsiTheme="minorHAnsi" w:cstheme="minorHAnsi"/>
          <w:sz w:val="22"/>
          <w:szCs w:val="22"/>
          <w:lang w:val="en-NZ"/>
        </w:rPr>
      </w:pPr>
      <w:r w:rsidRPr="002202DB">
        <w:rPr>
          <w:rFonts w:asciiTheme="minorHAnsi" w:hAnsiTheme="minorHAnsi" w:cstheme="minorHAnsi"/>
          <w:b/>
          <w:bCs/>
          <w:sz w:val="22"/>
          <w:szCs w:val="22"/>
          <w:lang w:val="en-NZ"/>
        </w:rPr>
        <w:t>Access to data</w:t>
      </w:r>
      <w:r w:rsidRPr="002202DB">
        <w:rPr>
          <w:rFonts w:asciiTheme="minorHAnsi" w:hAnsiTheme="minorHAnsi" w:cstheme="minorHAnsi"/>
          <w:sz w:val="22"/>
          <w:szCs w:val="22"/>
          <w:lang w:val="en-NZ"/>
        </w:rPr>
        <w:t xml:space="preserve"> – ENA is pleased to see that the Authority has taken a pro-active approach to enable EDB</w:t>
      </w:r>
      <w:r w:rsidR="00393295">
        <w:rPr>
          <w:rFonts w:asciiTheme="minorHAnsi" w:hAnsiTheme="minorHAnsi" w:cstheme="minorHAnsi"/>
          <w:sz w:val="22"/>
          <w:szCs w:val="22"/>
          <w:lang w:val="en-NZ"/>
        </w:rPr>
        <w:t>s</w:t>
      </w:r>
      <w:r w:rsidRPr="002202DB">
        <w:rPr>
          <w:rFonts w:asciiTheme="minorHAnsi" w:hAnsiTheme="minorHAnsi" w:cstheme="minorHAnsi"/>
          <w:sz w:val="22"/>
          <w:szCs w:val="22"/>
          <w:lang w:val="en-NZ"/>
        </w:rPr>
        <w:t xml:space="preserve"> to access metering consumption data via traders in the drafting of Appendix C of Schedule 12A.1. </w:t>
      </w:r>
      <w:r w:rsidR="00393295">
        <w:rPr>
          <w:rFonts w:asciiTheme="minorHAnsi" w:hAnsiTheme="minorHAnsi" w:cstheme="minorHAnsi"/>
          <w:sz w:val="22"/>
          <w:szCs w:val="22"/>
          <w:lang w:val="en-NZ"/>
        </w:rPr>
        <w:t>Unfortunately, t</w:t>
      </w:r>
      <w:r w:rsidR="00BC6633">
        <w:rPr>
          <w:rFonts w:asciiTheme="minorHAnsi" w:hAnsiTheme="minorHAnsi" w:cstheme="minorHAnsi"/>
          <w:sz w:val="22"/>
          <w:szCs w:val="22"/>
          <w:lang w:val="en-NZ"/>
        </w:rPr>
        <w:t xml:space="preserve">here are several </w:t>
      </w:r>
      <w:r w:rsidR="008B73D8">
        <w:rPr>
          <w:rFonts w:asciiTheme="minorHAnsi" w:hAnsiTheme="minorHAnsi" w:cstheme="minorHAnsi"/>
          <w:sz w:val="22"/>
          <w:szCs w:val="22"/>
          <w:lang w:val="en-NZ"/>
        </w:rPr>
        <w:t xml:space="preserve">proposed restrictions on the use of consumption data that will significantly undermine its usefulness to EDBs, and therefore potential benefit to consumers. </w:t>
      </w:r>
      <w:r w:rsidRPr="002202DB">
        <w:rPr>
          <w:rFonts w:asciiTheme="minorHAnsi" w:hAnsiTheme="minorHAnsi" w:cstheme="minorHAnsi"/>
          <w:sz w:val="22"/>
          <w:szCs w:val="22"/>
          <w:lang w:val="en-NZ"/>
        </w:rPr>
        <w:t xml:space="preserve">There are </w:t>
      </w:r>
      <w:r w:rsidR="008B73D8">
        <w:rPr>
          <w:rFonts w:asciiTheme="minorHAnsi" w:hAnsiTheme="minorHAnsi" w:cstheme="minorHAnsi"/>
          <w:sz w:val="22"/>
          <w:szCs w:val="22"/>
          <w:lang w:val="en-NZ"/>
        </w:rPr>
        <w:t xml:space="preserve">also </w:t>
      </w:r>
      <w:r w:rsidRPr="002202DB">
        <w:rPr>
          <w:rFonts w:asciiTheme="minorHAnsi" w:hAnsiTheme="minorHAnsi" w:cstheme="minorHAnsi"/>
          <w:sz w:val="22"/>
          <w:szCs w:val="22"/>
          <w:lang w:val="en-NZ"/>
        </w:rPr>
        <w:t xml:space="preserve">improvements that could be made to this drafting that would ease some of the administrative and logistical burden on both </w:t>
      </w:r>
      <w:r w:rsidR="001E3549">
        <w:rPr>
          <w:rFonts w:asciiTheme="minorHAnsi" w:hAnsiTheme="minorHAnsi" w:cstheme="minorHAnsi"/>
          <w:sz w:val="22"/>
          <w:szCs w:val="22"/>
          <w:lang w:val="en-NZ"/>
        </w:rPr>
        <w:t>EDBs</w:t>
      </w:r>
      <w:r w:rsidRPr="002202DB">
        <w:rPr>
          <w:rFonts w:asciiTheme="minorHAnsi" w:hAnsiTheme="minorHAnsi" w:cstheme="minorHAnsi"/>
          <w:sz w:val="22"/>
          <w:szCs w:val="22"/>
          <w:lang w:val="en-NZ"/>
        </w:rPr>
        <w:t xml:space="preserve"> and traders whilst still providing appropriate safeguards for the management of this data.</w:t>
      </w:r>
      <w:r w:rsidR="00393295">
        <w:rPr>
          <w:rFonts w:asciiTheme="minorHAnsi" w:hAnsiTheme="minorHAnsi" w:cstheme="minorHAnsi"/>
          <w:sz w:val="22"/>
          <w:szCs w:val="22"/>
          <w:lang w:val="en-NZ"/>
        </w:rPr>
        <w:t xml:space="preserve"> We have proposed amendments to resolve these issues.</w:t>
      </w:r>
    </w:p>
    <w:p w14:paraId="7E9FC68B" w14:textId="53065BC0" w:rsidR="00855BBB" w:rsidRPr="002202DB" w:rsidRDefault="00855BBB" w:rsidP="0086159E">
      <w:pPr>
        <w:pStyle w:val="ListParagraph"/>
        <w:numPr>
          <w:ilvl w:val="0"/>
          <w:numId w:val="11"/>
        </w:numPr>
        <w:spacing w:after="160" w:line="276" w:lineRule="auto"/>
        <w:ind w:left="714" w:hanging="357"/>
        <w:rPr>
          <w:rFonts w:asciiTheme="minorHAnsi" w:hAnsiTheme="minorHAnsi" w:cstheme="minorHAnsi"/>
          <w:sz w:val="22"/>
          <w:szCs w:val="22"/>
          <w:lang w:val="en-NZ"/>
        </w:rPr>
      </w:pPr>
      <w:r w:rsidRPr="002202DB">
        <w:rPr>
          <w:rFonts w:asciiTheme="minorHAnsi" w:hAnsiTheme="minorHAnsi" w:cstheme="minorHAnsi"/>
          <w:b/>
          <w:bCs/>
          <w:sz w:val="22"/>
          <w:szCs w:val="22"/>
          <w:lang w:val="en-NZ"/>
        </w:rPr>
        <w:t>Workability</w:t>
      </w:r>
      <w:r w:rsidRPr="002202DB">
        <w:rPr>
          <w:rFonts w:asciiTheme="minorHAnsi" w:hAnsiTheme="minorHAnsi" w:cstheme="minorHAnsi"/>
          <w:sz w:val="22"/>
          <w:szCs w:val="22"/>
          <w:lang w:val="en-NZ"/>
        </w:rPr>
        <w:t xml:space="preserve"> – there are </w:t>
      </w:r>
      <w:proofErr w:type="gramStart"/>
      <w:r w:rsidRPr="002202DB">
        <w:rPr>
          <w:rFonts w:asciiTheme="minorHAnsi" w:hAnsiTheme="minorHAnsi" w:cstheme="minorHAnsi"/>
          <w:sz w:val="22"/>
          <w:szCs w:val="22"/>
          <w:lang w:val="en-NZ"/>
        </w:rPr>
        <w:t>a number of</w:t>
      </w:r>
      <w:proofErr w:type="gramEnd"/>
      <w:r w:rsidRPr="002202DB">
        <w:rPr>
          <w:rFonts w:asciiTheme="minorHAnsi" w:hAnsiTheme="minorHAnsi" w:cstheme="minorHAnsi"/>
          <w:sz w:val="22"/>
          <w:szCs w:val="22"/>
          <w:lang w:val="en-NZ"/>
        </w:rPr>
        <w:t xml:space="preserve"> areas in which the current drafting is insufficiently clear, appears to give rise to unintended consequences, or does not account for some of the practical realities of the environment in which distributors operate.</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 xml:space="preserve">We have therefore suggested </w:t>
      </w:r>
      <w:proofErr w:type="gramStart"/>
      <w:r w:rsidRPr="002202DB">
        <w:rPr>
          <w:rFonts w:asciiTheme="minorHAnsi" w:hAnsiTheme="minorHAnsi" w:cstheme="minorHAnsi"/>
          <w:sz w:val="22"/>
          <w:szCs w:val="22"/>
          <w:lang w:val="en-NZ"/>
        </w:rPr>
        <w:t>a number of</w:t>
      </w:r>
      <w:proofErr w:type="gramEnd"/>
      <w:r w:rsidRPr="002202DB">
        <w:rPr>
          <w:rFonts w:asciiTheme="minorHAnsi" w:hAnsiTheme="minorHAnsi" w:cstheme="minorHAnsi"/>
          <w:sz w:val="22"/>
          <w:szCs w:val="22"/>
          <w:lang w:val="en-NZ"/>
        </w:rPr>
        <w:t xml:space="preserve"> changes to improve the workability of the DDA.</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In our view, these should be uncontroversial.</w:t>
      </w:r>
    </w:p>
    <w:p w14:paraId="5290B7C2" w14:textId="29132F5E" w:rsidR="00855BBB" w:rsidRPr="002202DB" w:rsidRDefault="00855BBB" w:rsidP="009B0D42">
      <w:pPr>
        <w:spacing w:after="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We expand on each of these themes in the body of our submission. A detailed explanation of our proposed amendments and the reasons for them is set out in Annex </w:t>
      </w:r>
      <w:r w:rsidR="00590F16">
        <w:rPr>
          <w:rFonts w:asciiTheme="minorHAnsi" w:hAnsiTheme="minorHAnsi" w:cstheme="minorHAnsi"/>
          <w:sz w:val="22"/>
          <w:szCs w:val="22"/>
          <w:lang w:val="en-NZ"/>
        </w:rPr>
        <w:t xml:space="preserve">A </w:t>
      </w:r>
      <w:r w:rsidRPr="002202DB">
        <w:rPr>
          <w:rFonts w:asciiTheme="minorHAnsi" w:hAnsiTheme="minorHAnsi" w:cstheme="minorHAnsi"/>
          <w:sz w:val="22"/>
          <w:szCs w:val="22"/>
          <w:lang w:val="en-NZ"/>
        </w:rPr>
        <w:t>to this submission. We also enclose mark-ups of Part 12A and the draft DDA showing our proposed amendments (in track changes).</w:t>
      </w:r>
    </w:p>
    <w:p w14:paraId="14E671A9" w14:textId="77777777" w:rsidR="00855BBB" w:rsidRPr="002202DB" w:rsidRDefault="00855BBB" w:rsidP="00855BBB">
      <w:pPr>
        <w:spacing w:after="0" w:line="276" w:lineRule="auto"/>
        <w:rPr>
          <w:rFonts w:asciiTheme="minorHAnsi" w:hAnsiTheme="minorHAnsi" w:cstheme="minorHAnsi"/>
          <w:sz w:val="22"/>
          <w:szCs w:val="22"/>
          <w:lang w:val="en-NZ"/>
        </w:rPr>
      </w:pPr>
    </w:p>
    <w:p w14:paraId="67A30E40" w14:textId="77777777" w:rsidR="00855BBB" w:rsidRPr="002202DB" w:rsidRDefault="00855BBB" w:rsidP="00060609">
      <w:pPr>
        <w:keepNext/>
        <w:spacing w:after="120" w:line="276" w:lineRule="auto"/>
        <w:rPr>
          <w:rFonts w:asciiTheme="minorHAnsi" w:hAnsiTheme="minorHAnsi" w:cstheme="minorHAnsi"/>
          <w:b/>
          <w:bCs/>
          <w:sz w:val="22"/>
          <w:szCs w:val="22"/>
          <w:lang w:val="en-NZ"/>
        </w:rPr>
      </w:pPr>
      <w:r w:rsidRPr="002202DB">
        <w:rPr>
          <w:rFonts w:asciiTheme="minorHAnsi" w:hAnsiTheme="minorHAnsi" w:cstheme="minorHAnsi"/>
          <w:b/>
          <w:bCs/>
          <w:sz w:val="22"/>
          <w:szCs w:val="22"/>
          <w:lang w:val="en-NZ"/>
        </w:rPr>
        <w:t>Contract formation, variation and termination</w:t>
      </w:r>
    </w:p>
    <w:p w14:paraId="75668D61" w14:textId="168AC063" w:rsidR="00855BBB" w:rsidRPr="002202DB" w:rsidRDefault="00855BBB" w:rsidP="0040174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As currently drafted, when a trader elects to contract under them, the DDA will apply in perpetuity. There is no mechanism by which the EDB can elect to amend, update or terminate the agreement </w:t>
      </w:r>
      <w:r w:rsidRPr="002202DB">
        <w:rPr>
          <w:rFonts w:asciiTheme="minorHAnsi" w:hAnsiTheme="minorHAnsi" w:cstheme="minorHAnsi"/>
          <w:sz w:val="22"/>
          <w:szCs w:val="22"/>
          <w:lang w:val="en-NZ"/>
        </w:rPr>
        <w:lastRenderedPageBreak/>
        <w:t>without the trader also agreeing to do so</w:t>
      </w:r>
      <w:r w:rsidR="00C45F3D">
        <w:rPr>
          <w:rFonts w:asciiTheme="minorHAnsi" w:hAnsiTheme="minorHAnsi" w:cstheme="minorHAnsi"/>
          <w:sz w:val="22"/>
          <w:szCs w:val="22"/>
          <w:lang w:val="en-NZ"/>
        </w:rPr>
        <w:t xml:space="preserve"> (other than a mechanism to amend operational terms)</w:t>
      </w:r>
      <w:r w:rsidRPr="002202DB">
        <w:rPr>
          <w:rFonts w:asciiTheme="minorHAnsi" w:hAnsiTheme="minorHAnsi" w:cstheme="minorHAnsi"/>
          <w:sz w:val="22"/>
          <w:szCs w:val="22"/>
          <w:lang w:val="en-NZ"/>
        </w:rPr>
        <w:t>. This locks distributors into an evergreen contractual arrangement that can never evolve to reflect changes in market conditions or the parties’ reasonable requirements.</w:t>
      </w:r>
    </w:p>
    <w:p w14:paraId="7A4AC429" w14:textId="77777777" w:rsidR="00855BBB" w:rsidRPr="002202DB" w:rsidRDefault="00855BBB" w:rsidP="0040174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Over time, this inflexibility could become increasingly onerous for the EDB as they are unable to keep the terms of the various DDA contracts synchronised to their internal businesses process (which will naturally change over time) and one another. </w:t>
      </w:r>
    </w:p>
    <w:p w14:paraId="215457E6" w14:textId="77777777" w:rsidR="00855BBB" w:rsidRPr="002202DB" w:rsidRDefault="00855BBB" w:rsidP="0040174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In addition, it is difficult to foresee or predict with any certainty how the electricity market in New Zealand might develop over time. The current roles and responsibilities, both of industry participants and regulators, could quite conceivably change significantly in a comparatively short space of time. In the face of such uncertainty, the contracts between EDBs and traders formed under the DDA would continue to operate provided the traders in question wished them to do so. </w:t>
      </w:r>
    </w:p>
    <w:p w14:paraId="3BBCE7E6" w14:textId="6C36D1F7" w:rsidR="00855BBB" w:rsidRPr="002202DB" w:rsidRDefault="00855BBB" w:rsidP="0040174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This level of inflexibility is also unnecessary to achieve the Authority’s objectives.</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Consistency and stability can still be achieved alongside reasonable mechanisms to ensure that the process of entering into, and operating under, the default distribution agreement, does not create unnecessary risks to EDBs or to market functioning.</w:t>
      </w:r>
    </w:p>
    <w:p w14:paraId="5919381F" w14:textId="77777777" w:rsidR="00855BBB" w:rsidRPr="002202DB" w:rsidRDefault="00855BBB" w:rsidP="0040174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Our key changes in relation to these issues include:</w:t>
      </w:r>
    </w:p>
    <w:p w14:paraId="378AE7BC" w14:textId="4EB812B5" w:rsidR="00855BBB" w:rsidRPr="002202DB" w:rsidRDefault="00855BBB" w:rsidP="00CA137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providing greater flexibility to enter into alternative agreements </w:t>
      </w:r>
      <w:proofErr w:type="gramStart"/>
      <w:r w:rsidRPr="002202DB">
        <w:rPr>
          <w:rFonts w:asciiTheme="minorHAnsi" w:hAnsiTheme="minorHAnsi" w:cstheme="minorHAnsi"/>
          <w:sz w:val="22"/>
          <w:szCs w:val="22"/>
          <w:lang w:val="en-NZ"/>
        </w:rPr>
        <w:t>at a later date</w:t>
      </w:r>
      <w:proofErr w:type="gramEnd"/>
      <w:r w:rsidRPr="002202DB">
        <w:rPr>
          <w:rFonts w:asciiTheme="minorHAnsi" w:hAnsiTheme="minorHAnsi" w:cstheme="minorHAnsi"/>
          <w:sz w:val="22"/>
          <w:szCs w:val="22"/>
          <w:lang w:val="en-NZ"/>
        </w:rPr>
        <w:t>, and in relation to the subject matter of the Appendices;</w:t>
      </w:r>
    </w:p>
    <w:p w14:paraId="66E8F568" w14:textId="3BA23F1E" w:rsidR="00855BBB" w:rsidRPr="002202DB" w:rsidRDefault="00855BBB" w:rsidP="00CA137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establishing a mechanism to periodically refresh all distribution agreements to reflect the distributor’s current DDA;</w:t>
      </w:r>
    </w:p>
    <w:p w14:paraId="121B7605" w14:textId="1281F208" w:rsidR="00855BBB" w:rsidRPr="002202DB" w:rsidRDefault="00855BBB" w:rsidP="00CA137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allowing distributors to apply to the Authority for an exemption from the requirement to offer the DDA to address the risk of rogue traders;</w:t>
      </w:r>
    </w:p>
    <w:p w14:paraId="428B4C1F" w14:textId="6430059C" w:rsidR="00855BBB" w:rsidRPr="002202DB" w:rsidRDefault="00855BBB" w:rsidP="00CA137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specifying the circumstances in which the Rulings Panel may unilaterally amend operational terms;</w:t>
      </w:r>
    </w:p>
    <w:p w14:paraId="74F424D7" w14:textId="663FC881" w:rsidR="00855BBB" w:rsidRPr="002202DB" w:rsidRDefault="00855BBB" w:rsidP="00CA137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obliging the Authority to periodically review Part 12A of the Code and the template DDA to ensure it remains fit for purpose; and</w:t>
      </w:r>
    </w:p>
    <w:p w14:paraId="5536354E" w14:textId="462ABDBF" w:rsidR="00855BBB" w:rsidRPr="002202DB" w:rsidRDefault="00855BBB" w:rsidP="00CA137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removing from the DDA the obligation to comply with guidelines promulgated by the Authority from time to time.</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It is inappropriate for the Authority to arrogate to itself a parallel rule-making power that bypasses the statutory framework for amending the Code through the Electricity Industry Act.</w:t>
      </w:r>
    </w:p>
    <w:p w14:paraId="1BA7CC14" w14:textId="77777777" w:rsidR="00855BBB" w:rsidRPr="002202DB" w:rsidRDefault="00855BBB" w:rsidP="008335B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We provide further detail below in relation to certain of these proposals.</w:t>
      </w:r>
    </w:p>
    <w:p w14:paraId="0F4CCD79" w14:textId="77777777" w:rsidR="00855BBB" w:rsidRPr="002202DB" w:rsidRDefault="00855BBB" w:rsidP="008335B6">
      <w:pPr>
        <w:spacing w:after="160" w:line="276" w:lineRule="auto"/>
        <w:rPr>
          <w:rFonts w:asciiTheme="minorHAnsi" w:hAnsiTheme="minorHAnsi" w:cstheme="minorHAnsi"/>
          <w:i/>
          <w:iCs/>
          <w:sz w:val="22"/>
          <w:szCs w:val="22"/>
          <w:lang w:val="en-NZ"/>
        </w:rPr>
      </w:pPr>
      <w:r w:rsidRPr="002202DB">
        <w:rPr>
          <w:rFonts w:asciiTheme="minorHAnsi" w:hAnsiTheme="minorHAnsi" w:cstheme="minorHAnsi"/>
          <w:i/>
          <w:iCs/>
          <w:sz w:val="22"/>
          <w:szCs w:val="22"/>
          <w:lang w:val="en-NZ"/>
        </w:rPr>
        <w:t>Power to exempt distributors from the obligation to contract with rogue traders</w:t>
      </w:r>
    </w:p>
    <w:p w14:paraId="107342E6" w14:textId="77777777" w:rsidR="00855BBB" w:rsidRPr="002202DB" w:rsidRDefault="00855BBB" w:rsidP="008335B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The DDA gives traders the absolute right in all circumstances to trade on an EDB network with no scope for the EDB to refuse them. This has the effect of transferring some risk from traders (particularly new entrant start-up retailers) to the EDB, and via the EDB charges to other consumers.</w:t>
      </w:r>
    </w:p>
    <w:p w14:paraId="30DA1DEA" w14:textId="11B0B796" w:rsidR="00855BBB" w:rsidRPr="002202DB" w:rsidRDefault="00855BBB" w:rsidP="008335B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Over the last 12-18 months EDBs have seen a marked increase in the number of traders defaulting on their payments for distribution services. This then triggers a relatively lengthy process for the EDB to remove the trader in question from their network, often incurring bad debts which are born</w:t>
      </w:r>
      <w:r w:rsidR="00C45F3D">
        <w:rPr>
          <w:rFonts w:asciiTheme="minorHAnsi" w:hAnsiTheme="minorHAnsi" w:cstheme="minorHAnsi"/>
          <w:sz w:val="22"/>
          <w:szCs w:val="22"/>
          <w:lang w:val="en-NZ"/>
        </w:rPr>
        <w:t>e</w:t>
      </w:r>
      <w:r w:rsidRPr="002202DB">
        <w:rPr>
          <w:rFonts w:asciiTheme="minorHAnsi" w:hAnsiTheme="minorHAnsi" w:cstheme="minorHAnsi"/>
          <w:sz w:val="22"/>
          <w:szCs w:val="22"/>
          <w:lang w:val="en-NZ"/>
        </w:rPr>
        <w:t xml:space="preserve"> by both retailers</w:t>
      </w:r>
      <w:r w:rsidR="00C45F3D">
        <w:rPr>
          <w:rFonts w:asciiTheme="minorHAnsi" w:hAnsiTheme="minorHAnsi" w:cstheme="minorHAnsi"/>
          <w:sz w:val="22"/>
          <w:szCs w:val="22"/>
          <w:lang w:val="en-NZ"/>
        </w:rPr>
        <w:t>’</w:t>
      </w:r>
      <w:r w:rsidRPr="002202DB">
        <w:rPr>
          <w:rFonts w:asciiTheme="minorHAnsi" w:hAnsiTheme="minorHAnsi" w:cstheme="minorHAnsi"/>
          <w:sz w:val="22"/>
          <w:szCs w:val="22"/>
          <w:lang w:val="en-NZ"/>
        </w:rPr>
        <w:t xml:space="preserve"> and EDBs</w:t>
      </w:r>
      <w:r w:rsidR="00C45F3D">
        <w:rPr>
          <w:rFonts w:asciiTheme="minorHAnsi" w:hAnsiTheme="minorHAnsi" w:cstheme="minorHAnsi"/>
          <w:sz w:val="22"/>
          <w:szCs w:val="22"/>
          <w:lang w:val="en-NZ"/>
        </w:rPr>
        <w:t>’</w:t>
      </w:r>
      <w:r w:rsidRPr="002202DB">
        <w:rPr>
          <w:rFonts w:asciiTheme="minorHAnsi" w:hAnsiTheme="minorHAnsi" w:cstheme="minorHAnsi"/>
          <w:sz w:val="22"/>
          <w:szCs w:val="22"/>
          <w:lang w:val="en-NZ"/>
        </w:rPr>
        <w:t xml:space="preserve"> wider consumer base.</w:t>
      </w:r>
    </w:p>
    <w:p w14:paraId="3ABA61DD" w14:textId="77777777" w:rsidR="00855BBB" w:rsidRPr="002202DB" w:rsidRDefault="00855BBB" w:rsidP="008335B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Under the DDA proposal, there would be no mechanism by which an EDB could stop a trader that has defaulted in the manner above from simply establishing a new DDA with the EDB and starting again.</w:t>
      </w:r>
    </w:p>
    <w:p w14:paraId="1B493C8B" w14:textId="77777777" w:rsidR="00855BBB" w:rsidRPr="002202DB" w:rsidRDefault="00855BBB" w:rsidP="008335B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lastRenderedPageBreak/>
        <w:t xml:space="preserve">We note that this balance of risk that has been struck by the Authority for the relationship between traders and EDBs is significantly different to the risk the wholesale electricity market (via the clearing manager) carries for these traders. </w:t>
      </w:r>
    </w:p>
    <w:p w14:paraId="63A4717E" w14:textId="77777777" w:rsidR="00855BBB" w:rsidRPr="002202DB" w:rsidRDefault="00855BBB" w:rsidP="00CC2CC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We do not think the Authority has set the balance of risk between traders and EDBs (and by extension their consumers) appropriately. If the Authority is of the view that the benefits of competition brought about by supporting traders in this way is in the public interest, then the additional risk borne by EDBs should also be carried to a similar extent by the wider electricity industry, via the wholesale market clearing manager.</w:t>
      </w:r>
    </w:p>
    <w:p w14:paraId="36A2D62D" w14:textId="4B1F66A1" w:rsidR="00855BBB" w:rsidRPr="002202DB" w:rsidRDefault="00855BBB" w:rsidP="00CC2CC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We propose that distributors be permitted to apply to the Authority for an exemption from the requirement to contract with traders that persistently fail to comply with their obligations.</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 xml:space="preserve">It would be within the Authority’s discretion </w:t>
      </w:r>
      <w:proofErr w:type="gramStart"/>
      <w:r w:rsidRPr="002202DB">
        <w:rPr>
          <w:rFonts w:asciiTheme="minorHAnsi" w:hAnsiTheme="minorHAnsi" w:cstheme="minorHAnsi"/>
          <w:sz w:val="22"/>
          <w:szCs w:val="22"/>
          <w:lang w:val="en-NZ"/>
        </w:rPr>
        <w:t>whether or not</w:t>
      </w:r>
      <w:proofErr w:type="gramEnd"/>
      <w:r w:rsidRPr="002202DB">
        <w:rPr>
          <w:rFonts w:asciiTheme="minorHAnsi" w:hAnsiTheme="minorHAnsi" w:cstheme="minorHAnsi"/>
          <w:sz w:val="22"/>
          <w:szCs w:val="22"/>
          <w:lang w:val="en-NZ"/>
        </w:rPr>
        <w:t xml:space="preserve"> to grant that exemption.</w:t>
      </w:r>
    </w:p>
    <w:p w14:paraId="1FFF494D" w14:textId="77777777" w:rsidR="00855BBB" w:rsidRPr="002202DB" w:rsidRDefault="00855BBB" w:rsidP="00CC2CCD">
      <w:pPr>
        <w:spacing w:after="160" w:line="276" w:lineRule="auto"/>
        <w:rPr>
          <w:rFonts w:asciiTheme="minorHAnsi" w:hAnsiTheme="minorHAnsi" w:cstheme="minorHAnsi"/>
          <w:i/>
          <w:iCs/>
          <w:sz w:val="22"/>
          <w:szCs w:val="22"/>
          <w:lang w:val="en-NZ"/>
        </w:rPr>
      </w:pPr>
      <w:r w:rsidRPr="002202DB">
        <w:rPr>
          <w:rFonts w:asciiTheme="minorHAnsi" w:hAnsiTheme="minorHAnsi" w:cstheme="minorHAnsi"/>
          <w:i/>
          <w:iCs/>
          <w:sz w:val="22"/>
          <w:szCs w:val="22"/>
          <w:lang w:val="en-NZ"/>
        </w:rPr>
        <w:t>Rulings Panel’s discretion to amend operational terms</w:t>
      </w:r>
    </w:p>
    <w:p w14:paraId="1FABD75B" w14:textId="77777777" w:rsidR="00855BBB" w:rsidRPr="002202DB" w:rsidRDefault="00855BBB" w:rsidP="00CC2CC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ENA has significant concerns that the role of the Rulings Panel, the scope of its determinations, and the effects that these might have upon agreements made under the DDA, are insufficiently defined in the current draft Part 12A. As currently drafted, the principles for operational terms are not clearly articulated and it is not clear that the Rulings Panel is required to identify an actual error before it intervenes to substitute its own terms.</w:t>
      </w:r>
    </w:p>
    <w:p w14:paraId="1E71835F" w14:textId="422AB5C2" w:rsidR="00855BBB" w:rsidRPr="002202DB" w:rsidRDefault="00855BBB" w:rsidP="00CC2CCD">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It is also not clear to us how determinations made by the Rulings Panel would flow through into agreements made between the EDB in question and other </w:t>
      </w:r>
      <w:proofErr w:type="gramStart"/>
      <w:r w:rsidRPr="002202DB">
        <w:rPr>
          <w:rFonts w:asciiTheme="minorHAnsi" w:hAnsiTheme="minorHAnsi" w:cstheme="minorHAnsi"/>
          <w:sz w:val="22"/>
          <w:szCs w:val="22"/>
          <w:lang w:val="en-NZ"/>
        </w:rPr>
        <w:t>traders ,</w:t>
      </w:r>
      <w:proofErr w:type="gramEnd"/>
      <w:r w:rsidRPr="002202DB">
        <w:rPr>
          <w:rFonts w:asciiTheme="minorHAnsi" w:hAnsiTheme="minorHAnsi" w:cstheme="minorHAnsi"/>
          <w:sz w:val="22"/>
          <w:szCs w:val="22"/>
          <w:lang w:val="en-NZ"/>
        </w:rPr>
        <w:t xml:space="preserve"> if at all. If these do flow through, would the other traders, who might be quite content with their existing agreement with the EDB, be happy? If they do not flow through, would the EDB end up having to support multiple different sets of </w:t>
      </w:r>
      <w:r w:rsidR="00574B72">
        <w:rPr>
          <w:rFonts w:asciiTheme="minorHAnsi" w:hAnsiTheme="minorHAnsi" w:cstheme="minorHAnsi"/>
          <w:sz w:val="22"/>
          <w:szCs w:val="22"/>
          <w:lang w:val="en-NZ"/>
        </w:rPr>
        <w:t>o</w:t>
      </w:r>
      <w:r w:rsidRPr="002202DB">
        <w:rPr>
          <w:rFonts w:asciiTheme="minorHAnsi" w:hAnsiTheme="minorHAnsi" w:cstheme="minorHAnsi"/>
          <w:sz w:val="22"/>
          <w:szCs w:val="22"/>
          <w:lang w:val="en-NZ"/>
        </w:rPr>
        <w:t xml:space="preserve">perational </w:t>
      </w:r>
      <w:r w:rsidR="00574B72">
        <w:rPr>
          <w:rFonts w:asciiTheme="minorHAnsi" w:hAnsiTheme="minorHAnsi" w:cstheme="minorHAnsi"/>
          <w:sz w:val="22"/>
          <w:szCs w:val="22"/>
          <w:lang w:val="en-NZ"/>
        </w:rPr>
        <w:t>t</w:t>
      </w:r>
      <w:r w:rsidRPr="002202DB">
        <w:rPr>
          <w:rFonts w:asciiTheme="minorHAnsi" w:hAnsiTheme="minorHAnsi" w:cstheme="minorHAnsi"/>
          <w:sz w:val="22"/>
          <w:szCs w:val="22"/>
          <w:lang w:val="en-NZ"/>
        </w:rPr>
        <w:t>erms for different traders? Either outcome could be unsatisfactory for the parties involved.</w:t>
      </w:r>
    </w:p>
    <w:p w14:paraId="03C987AA" w14:textId="77777777" w:rsidR="00855BBB" w:rsidRPr="002202DB" w:rsidRDefault="00855BBB" w:rsidP="00F5656B">
      <w:pPr>
        <w:spacing w:after="160" w:line="276" w:lineRule="auto"/>
        <w:contextualSpacing/>
        <w:rPr>
          <w:rFonts w:asciiTheme="minorHAnsi" w:hAnsiTheme="minorHAnsi" w:cstheme="minorHAnsi"/>
          <w:sz w:val="22"/>
          <w:szCs w:val="22"/>
          <w:lang w:val="en-NZ"/>
        </w:rPr>
      </w:pPr>
      <w:r w:rsidRPr="002202DB">
        <w:rPr>
          <w:rFonts w:asciiTheme="minorHAnsi" w:hAnsiTheme="minorHAnsi" w:cstheme="minorHAnsi"/>
          <w:sz w:val="22"/>
          <w:szCs w:val="22"/>
          <w:lang w:val="en-NZ"/>
        </w:rPr>
        <w:t>We have proposed narrow and targeted amendments to:</w:t>
      </w:r>
    </w:p>
    <w:p w14:paraId="6566486B" w14:textId="197BCB21" w:rsidR="00855BBB" w:rsidRPr="002202DB" w:rsidRDefault="00855BBB" w:rsidP="00F5656B">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clarify the principles for operational terms;</w:t>
      </w:r>
    </w:p>
    <w:p w14:paraId="1FF50B89" w14:textId="6F4A0A88" w:rsidR="00855BBB" w:rsidRPr="002202DB" w:rsidRDefault="00855BBB" w:rsidP="00F5656B">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make clear that the Rulings Panel, before it exercises its power to amend, must be satisfied that the operational term in question is actually inconsistent with the principles, as opposed to intervening merely because it has identified an alternative term that it considers is also consistent, or more consistent, with the principles; and</w:t>
      </w:r>
    </w:p>
    <w:p w14:paraId="16C8585F" w14:textId="6A1A55D5" w:rsidR="00855BBB" w:rsidRPr="002202DB" w:rsidRDefault="00855BBB" w:rsidP="00F5656B">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require the Rulings Panel to consider the impact on the distributor of adopting the amended term.</w:t>
      </w:r>
    </w:p>
    <w:p w14:paraId="1EF2E092" w14:textId="77777777" w:rsidR="00855BBB" w:rsidRPr="002202DB" w:rsidRDefault="00855BBB" w:rsidP="00E51F32">
      <w:pPr>
        <w:spacing w:after="160" w:line="276" w:lineRule="auto"/>
        <w:rPr>
          <w:rFonts w:asciiTheme="minorHAnsi" w:hAnsiTheme="minorHAnsi" w:cstheme="minorHAnsi"/>
          <w:i/>
          <w:iCs/>
          <w:sz w:val="22"/>
          <w:szCs w:val="22"/>
          <w:lang w:val="en-NZ"/>
        </w:rPr>
      </w:pPr>
      <w:r w:rsidRPr="002202DB">
        <w:rPr>
          <w:rFonts w:asciiTheme="minorHAnsi" w:hAnsiTheme="minorHAnsi" w:cstheme="minorHAnsi"/>
          <w:i/>
          <w:iCs/>
          <w:sz w:val="22"/>
          <w:szCs w:val="22"/>
          <w:lang w:val="en-NZ"/>
        </w:rPr>
        <w:t>Inappropriate rule-making through guidelines</w:t>
      </w:r>
    </w:p>
    <w:p w14:paraId="669E1362" w14:textId="64ED732F" w:rsidR="00855BBB" w:rsidRPr="002202DB" w:rsidRDefault="00855BBB" w:rsidP="00E51F32">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ENA believes that it is inappropriate of the Authority to include within the DDA an absolute requirement for EDBs to comply with several guidelines issued by the Authority. This requirement has the effect of elevating what were simply guidance documents to the status of quasi-regulation, something that they were never intended to be. It also bypasses the statutory framework for rule-making through the Code. These documents were not subject to the rigorous development processes that true regulations would be subject to and are also not subject to the same level of consultation and scrutiny should they be revised in the future.</w:t>
      </w:r>
    </w:p>
    <w:p w14:paraId="595A8857" w14:textId="03BBCC4E" w:rsidR="00855BBB" w:rsidRPr="002202DB" w:rsidRDefault="00855BBB" w:rsidP="00E51F32">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lastRenderedPageBreak/>
        <w:t>Finally, it creates unacceptable risk to all market participants, because it means that key obligations in distributor agreements are open to redetermination on an ad hoc basis through revisions to the guidelines. This represents a significant and avoidable inefficiency.</w:t>
      </w:r>
    </w:p>
    <w:p w14:paraId="012D6779" w14:textId="3B79A780" w:rsidR="00855BBB" w:rsidRPr="002202DB" w:rsidRDefault="00855BBB" w:rsidP="00311786">
      <w:pPr>
        <w:spacing w:after="160" w:line="276" w:lineRule="auto"/>
        <w:rPr>
          <w:rFonts w:asciiTheme="minorHAnsi" w:hAnsiTheme="minorHAnsi" w:cstheme="minorHAnsi"/>
          <w:b/>
          <w:bCs/>
          <w:sz w:val="22"/>
          <w:szCs w:val="22"/>
          <w:lang w:val="en-NZ"/>
        </w:rPr>
      </w:pPr>
      <w:r w:rsidRPr="002202DB">
        <w:rPr>
          <w:rFonts w:asciiTheme="minorHAnsi" w:hAnsiTheme="minorHAnsi" w:cstheme="minorHAnsi"/>
          <w:b/>
          <w:bCs/>
          <w:sz w:val="22"/>
          <w:szCs w:val="22"/>
          <w:lang w:val="en-NZ"/>
        </w:rPr>
        <w:t>Risk management</w:t>
      </w:r>
    </w:p>
    <w:p w14:paraId="45E735B8" w14:textId="77777777" w:rsidR="00855BBB" w:rsidRPr="002202DB" w:rsidRDefault="00855BBB" w:rsidP="0031178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We consider that the Authority’s proposed prudential security regime is largely ineffective because: </w:t>
      </w:r>
    </w:p>
    <w:p w14:paraId="5204A67D" w14:textId="51404AD1" w:rsidR="00855BBB" w:rsidRPr="002202DB" w:rsidRDefault="00855BBB" w:rsidP="00C61D88">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the cost of posting additional security is prohibitive, and allows traders to earn a risk-free return significantly in excess of cost of capital; and</w:t>
      </w:r>
    </w:p>
    <w:p w14:paraId="1773FC21" w14:textId="6B99D63A" w:rsidR="00855BBB" w:rsidRPr="002202DB" w:rsidRDefault="00855BBB" w:rsidP="00C61D88">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the amount of</w:t>
      </w:r>
      <w:r w:rsidR="00E84C2A" w:rsidRPr="002202DB">
        <w:rPr>
          <w:rFonts w:asciiTheme="minorHAnsi" w:hAnsiTheme="minorHAnsi" w:cstheme="minorHAnsi"/>
          <w:sz w:val="22"/>
          <w:szCs w:val="22"/>
          <w:lang w:val="en-NZ"/>
        </w:rPr>
        <w:t xml:space="preserve"> security </w:t>
      </w:r>
      <w:r w:rsidRPr="002202DB">
        <w:rPr>
          <w:rFonts w:asciiTheme="minorHAnsi" w:hAnsiTheme="minorHAnsi" w:cstheme="minorHAnsi"/>
          <w:sz w:val="22"/>
          <w:szCs w:val="22"/>
          <w:lang w:val="en-NZ"/>
        </w:rPr>
        <w:t>an EDB can require of a trader is insufficient to reflect the true extent of the risk posed by the trader defaulting.</w:t>
      </w:r>
    </w:p>
    <w:p w14:paraId="579C34FC" w14:textId="366BA947" w:rsidR="00855BBB" w:rsidRPr="002202DB" w:rsidRDefault="00855BBB" w:rsidP="00311786">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There are also </w:t>
      </w:r>
      <w:proofErr w:type="gramStart"/>
      <w:r w:rsidRPr="002202DB">
        <w:rPr>
          <w:rFonts w:asciiTheme="minorHAnsi" w:hAnsiTheme="minorHAnsi" w:cstheme="minorHAnsi"/>
          <w:sz w:val="22"/>
          <w:szCs w:val="22"/>
          <w:lang w:val="en-NZ"/>
        </w:rPr>
        <w:t>a number of</w:t>
      </w:r>
      <w:proofErr w:type="gramEnd"/>
      <w:r w:rsidRPr="002202DB">
        <w:rPr>
          <w:rFonts w:asciiTheme="minorHAnsi" w:hAnsiTheme="minorHAnsi" w:cstheme="minorHAnsi"/>
          <w:sz w:val="22"/>
          <w:szCs w:val="22"/>
          <w:lang w:val="en-NZ"/>
        </w:rPr>
        <w:t xml:space="preserve"> issues with the structure of the liability and indemnity provisions that will lead to unintended consequences and unnecessary cost and risk for distributors. These costs will ultimately be borne by consumers through regulated prices, and therefore should be minimised to the extent possible.</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We have proposed targeted amendments to improve the functioning of the risk allocation mechanisms of Part 12A and the DDA.</w:t>
      </w:r>
    </w:p>
    <w:p w14:paraId="1EA98DD4" w14:textId="77777777" w:rsidR="00855BBB" w:rsidRPr="002202DB" w:rsidRDefault="00855BBB" w:rsidP="00B96B9C">
      <w:pPr>
        <w:spacing w:after="160" w:line="276" w:lineRule="auto"/>
        <w:rPr>
          <w:rFonts w:asciiTheme="minorHAnsi" w:hAnsiTheme="minorHAnsi" w:cstheme="minorHAnsi"/>
          <w:b/>
          <w:bCs/>
          <w:sz w:val="22"/>
          <w:szCs w:val="22"/>
          <w:lang w:val="en-NZ"/>
        </w:rPr>
      </w:pPr>
      <w:r w:rsidRPr="002202DB">
        <w:rPr>
          <w:rFonts w:asciiTheme="minorHAnsi" w:hAnsiTheme="minorHAnsi" w:cstheme="minorHAnsi"/>
          <w:b/>
          <w:bCs/>
          <w:sz w:val="22"/>
          <w:szCs w:val="22"/>
          <w:lang w:val="en-NZ"/>
        </w:rPr>
        <w:t>Data access</w:t>
      </w:r>
    </w:p>
    <w:p w14:paraId="69B2AF2B" w14:textId="77777777" w:rsidR="00855BBB" w:rsidRPr="002202DB" w:rsidRDefault="00855BBB" w:rsidP="00B96B9C">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ENA applauds the changes that the Authority has made to the DDA to allow EDBs to access smart meter consumption data via traders. We note that this is entirely consistent with the recommendations arising from the Government’s Electricity Price Review, and the recently published Government response to those recommendations.</w:t>
      </w:r>
    </w:p>
    <w:p w14:paraId="06F6E475" w14:textId="77777777" w:rsidR="00855BBB" w:rsidRPr="002202DB" w:rsidRDefault="00855BBB" w:rsidP="00B96B9C">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Whilst the principle is sound however, there are several requirements in the proposed Appendix C that are overly onerous, to the point of rendering the consumption data provided to EDBs useless. These are as follows:</w:t>
      </w:r>
    </w:p>
    <w:p w14:paraId="48A71C31" w14:textId="6167C937" w:rsidR="00855BBB" w:rsidRPr="002202DB" w:rsidRDefault="00855BBB" w:rsidP="00815A9A">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b/>
          <w:bCs/>
          <w:sz w:val="22"/>
          <w:szCs w:val="22"/>
          <w:lang w:val="en-NZ"/>
        </w:rPr>
        <w:t>Inability to combine data:</w:t>
      </w:r>
      <w:r w:rsidRPr="002202DB">
        <w:rPr>
          <w:rFonts w:asciiTheme="minorHAnsi" w:hAnsiTheme="minorHAnsi" w:cstheme="minorHAnsi"/>
          <w:sz w:val="22"/>
          <w:szCs w:val="22"/>
          <w:lang w:val="en-NZ"/>
        </w:rPr>
        <w:t xml:space="preserve"> as drafted the proposed Appendix C prohibits EDB</w:t>
      </w:r>
      <w:r w:rsidR="00A93D52" w:rsidRPr="002202DB">
        <w:rPr>
          <w:rFonts w:asciiTheme="minorHAnsi" w:hAnsiTheme="minorHAnsi" w:cstheme="minorHAnsi"/>
          <w:sz w:val="22"/>
          <w:szCs w:val="22"/>
          <w:lang w:val="en-NZ"/>
        </w:rPr>
        <w:t>s</w:t>
      </w:r>
      <w:r w:rsidRPr="002202DB">
        <w:rPr>
          <w:rFonts w:asciiTheme="minorHAnsi" w:hAnsiTheme="minorHAnsi" w:cstheme="minorHAnsi"/>
          <w:sz w:val="22"/>
          <w:szCs w:val="22"/>
          <w:lang w:val="en-NZ"/>
        </w:rPr>
        <w:t xml:space="preserve"> from combining data with any other date without the consent of the trader. Without such consent, the data is essentially worthless, as it cannot be combined with any pre-existing network information to generate a benefit to the EDB (and ultimately EDB consumers). The ‘permitted purposes’ defined in Appendix C should be sufficient to ensure that the data is used for appropriate reasons, and therefore this requirement for trader consent prior to combining data sets should be removed.</w:t>
      </w:r>
    </w:p>
    <w:p w14:paraId="4DF16CC6" w14:textId="640355CD" w:rsidR="00855BBB" w:rsidRPr="002202DB" w:rsidRDefault="00855BBB" w:rsidP="00815A9A">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b/>
          <w:bCs/>
          <w:sz w:val="22"/>
          <w:szCs w:val="22"/>
          <w:lang w:val="en-NZ"/>
        </w:rPr>
        <w:t>Overly onerous audit requirements:</w:t>
      </w:r>
      <w:r w:rsidRPr="002202DB">
        <w:rPr>
          <w:rFonts w:asciiTheme="minorHAnsi" w:hAnsiTheme="minorHAnsi" w:cstheme="minorHAnsi"/>
          <w:sz w:val="22"/>
          <w:szCs w:val="22"/>
          <w:lang w:val="en-NZ"/>
        </w:rPr>
        <w:t xml:space="preserve"> Appendix C currently allows for each individual trader on a</w:t>
      </w:r>
      <w:r w:rsidR="00385492">
        <w:rPr>
          <w:rFonts w:asciiTheme="minorHAnsi" w:hAnsiTheme="minorHAnsi" w:cstheme="minorHAnsi"/>
          <w:sz w:val="22"/>
          <w:szCs w:val="22"/>
          <w:lang w:val="en-NZ"/>
        </w:rPr>
        <w:t>n</w:t>
      </w:r>
      <w:r w:rsidRPr="002202DB">
        <w:rPr>
          <w:rFonts w:asciiTheme="minorHAnsi" w:hAnsiTheme="minorHAnsi" w:cstheme="minorHAnsi"/>
          <w:sz w:val="22"/>
          <w:szCs w:val="22"/>
          <w:lang w:val="en-NZ"/>
        </w:rPr>
        <w:t xml:space="preserve"> EDB network, where they are providing smart meter consumption data to that EDB, to undertake an audit of the EDBs data handling processes. In the extreme, this could lead to as many as 38 trader audits per annum, which is clearly inefficient and unnecessary. EDBs are already subject to multiple different audit regimes and, i</w:t>
      </w:r>
      <w:r w:rsidR="00C45F3D">
        <w:rPr>
          <w:rFonts w:asciiTheme="minorHAnsi" w:hAnsiTheme="minorHAnsi" w:cstheme="minorHAnsi"/>
          <w:sz w:val="22"/>
          <w:szCs w:val="22"/>
          <w:lang w:val="en-NZ"/>
        </w:rPr>
        <w:t>f</w:t>
      </w:r>
      <w:r w:rsidRPr="002202DB">
        <w:rPr>
          <w:rFonts w:asciiTheme="minorHAnsi" w:hAnsiTheme="minorHAnsi" w:cstheme="minorHAnsi"/>
          <w:sz w:val="22"/>
          <w:szCs w:val="22"/>
          <w:lang w:val="en-NZ"/>
        </w:rPr>
        <w:t xml:space="preserve"> this audit is genuinely required, it would be better to include it within one of the pre-existing audits on behalf of all traders. For example, the Authority’s participant audit process may be an appropriate place for this to sit.</w:t>
      </w:r>
    </w:p>
    <w:p w14:paraId="41E6D420" w14:textId="16CF1EA4" w:rsidR="00855BBB" w:rsidRPr="002202DB" w:rsidRDefault="00855BBB" w:rsidP="00815A9A">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b/>
          <w:bCs/>
          <w:sz w:val="22"/>
          <w:szCs w:val="22"/>
          <w:lang w:val="en-NZ"/>
        </w:rPr>
        <w:t>Requirement to destroy data after use:</w:t>
      </w:r>
      <w:r w:rsidRPr="002202DB">
        <w:rPr>
          <w:rFonts w:asciiTheme="minorHAnsi" w:hAnsiTheme="minorHAnsi" w:cstheme="minorHAnsi"/>
          <w:sz w:val="22"/>
          <w:szCs w:val="22"/>
          <w:lang w:val="en-NZ"/>
        </w:rPr>
        <w:t xml:space="preserve"> </w:t>
      </w:r>
      <w:proofErr w:type="gramStart"/>
      <w:r w:rsidRPr="002202DB">
        <w:rPr>
          <w:rFonts w:asciiTheme="minorHAnsi" w:hAnsiTheme="minorHAnsi" w:cstheme="minorHAnsi"/>
          <w:sz w:val="22"/>
          <w:szCs w:val="22"/>
          <w:lang w:val="en-NZ"/>
        </w:rPr>
        <w:t>similar to</w:t>
      </w:r>
      <w:proofErr w:type="gramEnd"/>
      <w:r w:rsidRPr="002202DB">
        <w:rPr>
          <w:rFonts w:asciiTheme="minorHAnsi" w:hAnsiTheme="minorHAnsi" w:cstheme="minorHAnsi"/>
          <w:sz w:val="22"/>
          <w:szCs w:val="22"/>
          <w:lang w:val="en-NZ"/>
        </w:rPr>
        <w:t xml:space="preserve"> the point made above, the requirement to destroy smart meter consumption data after use will, at best, significantly reduce the benefit that EDBs can generate from that data. At worst, it will render the data worthless and completely remove any benefit that might otherwise have been obtained. In practice, many of the benefits that EDBs can generate from the use of </w:t>
      </w:r>
      <w:r w:rsidRPr="002202DB">
        <w:rPr>
          <w:rFonts w:asciiTheme="minorHAnsi" w:hAnsiTheme="minorHAnsi" w:cstheme="minorHAnsi"/>
          <w:sz w:val="22"/>
          <w:szCs w:val="22"/>
          <w:lang w:val="en-NZ"/>
        </w:rPr>
        <w:lastRenderedPageBreak/>
        <w:t>smart meter data will be informing certain decision</w:t>
      </w:r>
      <w:r w:rsidR="00C45F3D">
        <w:rPr>
          <w:rFonts w:asciiTheme="minorHAnsi" w:hAnsiTheme="minorHAnsi" w:cstheme="minorHAnsi"/>
          <w:sz w:val="22"/>
          <w:szCs w:val="22"/>
          <w:lang w:val="en-NZ"/>
        </w:rPr>
        <w:t>s</w:t>
      </w:r>
      <w:r w:rsidRPr="002202DB">
        <w:rPr>
          <w:rFonts w:asciiTheme="minorHAnsi" w:hAnsiTheme="minorHAnsi" w:cstheme="minorHAnsi"/>
          <w:sz w:val="22"/>
          <w:szCs w:val="22"/>
          <w:lang w:val="en-NZ"/>
        </w:rPr>
        <w:t xml:space="preserve"> on network planning and these decisions will need to be justified after the fact. Also, the ability to monitor and track consumption over time to inform decision-making will be another key benefit arising from use of the smart meter data. In both these scenarios these benefits will be unobtainable, or significantly inhibited, by the requirement to destroy data.</w:t>
      </w:r>
    </w:p>
    <w:p w14:paraId="4F64B48E" w14:textId="77777777" w:rsidR="00855BBB" w:rsidRPr="002202DB" w:rsidRDefault="00855BBB" w:rsidP="00CE4078">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We have also made </w:t>
      </w:r>
      <w:proofErr w:type="gramStart"/>
      <w:r w:rsidRPr="002202DB">
        <w:rPr>
          <w:rFonts w:asciiTheme="minorHAnsi" w:hAnsiTheme="minorHAnsi" w:cstheme="minorHAnsi"/>
          <w:sz w:val="22"/>
          <w:szCs w:val="22"/>
          <w:lang w:val="en-NZ"/>
        </w:rPr>
        <w:t>a number of</w:t>
      </w:r>
      <w:proofErr w:type="gramEnd"/>
      <w:r w:rsidRPr="002202DB">
        <w:rPr>
          <w:rFonts w:asciiTheme="minorHAnsi" w:hAnsiTheme="minorHAnsi" w:cstheme="minorHAnsi"/>
          <w:sz w:val="22"/>
          <w:szCs w:val="22"/>
          <w:lang w:val="en-NZ"/>
        </w:rPr>
        <w:t xml:space="preserve"> proposed changes to address ambiguities or potential inaccuracies in the current drafting.</w:t>
      </w:r>
    </w:p>
    <w:p w14:paraId="656F78C3" w14:textId="77777777" w:rsidR="00855BBB" w:rsidRPr="002202DB" w:rsidRDefault="00855BBB" w:rsidP="00CE4078">
      <w:pPr>
        <w:spacing w:after="160" w:line="276" w:lineRule="auto"/>
        <w:rPr>
          <w:rFonts w:asciiTheme="minorHAnsi" w:hAnsiTheme="minorHAnsi" w:cstheme="minorHAnsi"/>
          <w:b/>
          <w:bCs/>
          <w:sz w:val="22"/>
          <w:szCs w:val="22"/>
          <w:lang w:val="en-NZ"/>
        </w:rPr>
      </w:pPr>
      <w:r w:rsidRPr="002202DB">
        <w:rPr>
          <w:rFonts w:asciiTheme="minorHAnsi" w:hAnsiTheme="minorHAnsi" w:cstheme="minorHAnsi"/>
          <w:b/>
          <w:bCs/>
          <w:sz w:val="22"/>
          <w:szCs w:val="22"/>
          <w:lang w:val="en-NZ"/>
        </w:rPr>
        <w:t>Workability</w:t>
      </w:r>
    </w:p>
    <w:p w14:paraId="0078AE21" w14:textId="18F7A6EC" w:rsidR="00855BBB" w:rsidRPr="002202DB" w:rsidRDefault="00855BBB" w:rsidP="00CE4078">
      <w:pPr>
        <w:spacing w:after="160" w:line="276" w:lineRule="auto"/>
        <w:rPr>
          <w:rFonts w:asciiTheme="minorHAnsi" w:hAnsiTheme="minorHAnsi" w:cstheme="minorHAnsi"/>
          <w:sz w:val="22"/>
          <w:szCs w:val="22"/>
          <w:lang w:val="en-NZ"/>
        </w:rPr>
      </w:pPr>
      <w:r w:rsidRPr="002202DB">
        <w:rPr>
          <w:rFonts w:asciiTheme="minorHAnsi" w:hAnsiTheme="minorHAnsi" w:cstheme="minorHAnsi"/>
          <w:sz w:val="22"/>
          <w:szCs w:val="22"/>
          <w:lang w:val="en-NZ"/>
        </w:rPr>
        <w:t>Asides from the major issues described above, there are a range of issues that go to the workability of the agreement that we wish to bring to the Authority’s attention.</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These are detailed in the Annex and should be uncontroversial.</w:t>
      </w:r>
      <w:r w:rsidR="00A96461">
        <w:rPr>
          <w:rFonts w:asciiTheme="minorHAnsi" w:hAnsiTheme="minorHAnsi" w:cstheme="minorHAnsi"/>
          <w:sz w:val="22"/>
          <w:szCs w:val="22"/>
          <w:lang w:val="en-NZ"/>
        </w:rPr>
        <w:t xml:space="preserve"> </w:t>
      </w:r>
      <w:r w:rsidRPr="002202DB">
        <w:rPr>
          <w:rFonts w:asciiTheme="minorHAnsi" w:hAnsiTheme="minorHAnsi" w:cstheme="minorHAnsi"/>
          <w:sz w:val="22"/>
          <w:szCs w:val="22"/>
          <w:lang w:val="en-NZ"/>
        </w:rPr>
        <w:t>We highlight the most significant issues below:</w:t>
      </w:r>
    </w:p>
    <w:p w14:paraId="30BCE0EF" w14:textId="4A88EC15" w:rsidR="00855BBB" w:rsidRPr="002202DB" w:rsidRDefault="00855BBB" w:rsidP="0010746E">
      <w:pPr>
        <w:spacing w:after="160" w:line="276" w:lineRule="auto"/>
        <w:rPr>
          <w:rFonts w:asciiTheme="minorHAnsi" w:hAnsiTheme="minorHAnsi" w:cstheme="minorHAnsi"/>
          <w:sz w:val="22"/>
          <w:szCs w:val="22"/>
          <w:lang w:val="en-NZ"/>
        </w:rPr>
      </w:pPr>
      <w:r w:rsidRPr="002202DB">
        <w:rPr>
          <w:rFonts w:asciiTheme="minorHAnsi" w:hAnsiTheme="minorHAnsi" w:cstheme="minorHAnsi"/>
          <w:b/>
          <w:bCs/>
          <w:sz w:val="22"/>
          <w:szCs w:val="22"/>
          <w:lang w:val="en-NZ"/>
        </w:rPr>
        <w:t>Load Control:</w:t>
      </w:r>
      <w:r w:rsidRPr="002202DB">
        <w:rPr>
          <w:rFonts w:asciiTheme="minorHAnsi" w:hAnsiTheme="minorHAnsi" w:cstheme="minorHAnsi"/>
          <w:sz w:val="22"/>
          <w:szCs w:val="22"/>
          <w:lang w:val="en-NZ"/>
        </w:rPr>
        <w:t xml:space="preserve"> the DDA should allow for future development of load control. The availability of consumer load to other parties (EDBs, traders, others) should be at that consumer’s discretion. The DDA as drafted does not allow for consumers to benefit from future opportunities </w:t>
      </w:r>
      <w:r w:rsidR="00A33860">
        <w:rPr>
          <w:rFonts w:asciiTheme="minorHAnsi" w:hAnsiTheme="minorHAnsi" w:cstheme="minorHAnsi"/>
          <w:sz w:val="22"/>
          <w:szCs w:val="22"/>
          <w:lang w:val="en-NZ"/>
        </w:rPr>
        <w:t>that</w:t>
      </w:r>
      <w:r w:rsidRPr="002202DB">
        <w:rPr>
          <w:rFonts w:asciiTheme="minorHAnsi" w:hAnsiTheme="minorHAnsi" w:cstheme="minorHAnsi"/>
          <w:sz w:val="22"/>
          <w:szCs w:val="22"/>
          <w:lang w:val="en-NZ"/>
        </w:rPr>
        <w:t xml:space="preserve"> might arise related to load control. Specifically</w:t>
      </w:r>
      <w:r w:rsidR="00C45F3D">
        <w:rPr>
          <w:rFonts w:asciiTheme="minorHAnsi" w:hAnsiTheme="minorHAnsi" w:cstheme="minorHAnsi"/>
          <w:sz w:val="22"/>
          <w:szCs w:val="22"/>
          <w:lang w:val="en-NZ"/>
        </w:rPr>
        <w:t>,</w:t>
      </w:r>
    </w:p>
    <w:p w14:paraId="590E0C76" w14:textId="5D52E38E" w:rsidR="00855BBB" w:rsidRPr="002202DB" w:rsidRDefault="00C45F3D" w:rsidP="001F59BC">
      <w:pPr>
        <w:pStyle w:val="ListParagraph"/>
        <w:numPr>
          <w:ilvl w:val="0"/>
          <w:numId w:val="11"/>
        </w:numPr>
        <w:spacing w:after="160" w:line="276" w:lineRule="auto"/>
        <w:ind w:left="1077"/>
        <w:rPr>
          <w:rFonts w:asciiTheme="minorHAnsi" w:hAnsiTheme="minorHAnsi" w:cstheme="minorHAnsi"/>
          <w:sz w:val="22"/>
          <w:szCs w:val="22"/>
          <w:lang w:val="en-NZ"/>
        </w:rPr>
      </w:pPr>
      <w:r>
        <w:rPr>
          <w:rFonts w:asciiTheme="minorHAnsi" w:hAnsiTheme="minorHAnsi" w:cstheme="minorHAnsi"/>
          <w:sz w:val="22"/>
          <w:szCs w:val="22"/>
          <w:lang w:val="en-NZ"/>
        </w:rPr>
        <w:t>c</w:t>
      </w:r>
      <w:r w:rsidR="00855BBB" w:rsidRPr="002202DB">
        <w:rPr>
          <w:rFonts w:asciiTheme="minorHAnsi" w:hAnsiTheme="minorHAnsi" w:cstheme="minorHAnsi"/>
          <w:sz w:val="22"/>
          <w:szCs w:val="22"/>
          <w:lang w:val="en-NZ"/>
        </w:rPr>
        <w:t xml:space="preserve">lause 5.1 is just based on a price category selection – this is how it has been done in the past. New TOU price plans, the removal of Low Fixed Plans, multiple traders, new technology (e.g. controllable EV chargers) may mean that it is not a simple price category selection. </w:t>
      </w:r>
      <w:r>
        <w:rPr>
          <w:rFonts w:asciiTheme="minorHAnsi" w:hAnsiTheme="minorHAnsi" w:cstheme="minorHAnsi"/>
          <w:sz w:val="22"/>
          <w:szCs w:val="22"/>
          <w:lang w:val="en-NZ"/>
        </w:rPr>
        <w:t>We have made a change to clause 5.1 to permit consumers, at their discretion, to take advantage of other load control options offered by distributors.</w:t>
      </w:r>
    </w:p>
    <w:p w14:paraId="3EE397D6" w14:textId="77777777" w:rsidR="00855BBB" w:rsidRPr="00A16C0E" w:rsidRDefault="00855BBB" w:rsidP="00EE06CF">
      <w:pPr>
        <w:spacing w:after="160" w:line="276" w:lineRule="auto"/>
        <w:rPr>
          <w:rFonts w:asciiTheme="minorHAnsi" w:hAnsiTheme="minorHAnsi" w:cstheme="minorHAnsi"/>
          <w:sz w:val="22"/>
          <w:szCs w:val="22"/>
          <w:lang w:val="en-NZ"/>
        </w:rPr>
      </w:pPr>
      <w:r w:rsidRPr="002202DB">
        <w:rPr>
          <w:rFonts w:asciiTheme="minorHAnsi" w:hAnsiTheme="minorHAnsi" w:cstheme="minorHAnsi"/>
          <w:b/>
          <w:bCs/>
          <w:sz w:val="22"/>
          <w:szCs w:val="22"/>
          <w:lang w:val="en-NZ"/>
        </w:rPr>
        <w:t>Conveyance contracts:</w:t>
      </w:r>
      <w:r w:rsidRPr="002202DB">
        <w:rPr>
          <w:rFonts w:asciiTheme="minorHAnsi" w:hAnsiTheme="minorHAnsi" w:cstheme="minorHAnsi"/>
          <w:sz w:val="22"/>
          <w:szCs w:val="22"/>
          <w:lang w:val="en-NZ"/>
        </w:rPr>
        <w:t xml:space="preserve"> </w:t>
      </w:r>
      <w:proofErr w:type="gramStart"/>
      <w:r w:rsidRPr="002202DB">
        <w:rPr>
          <w:rFonts w:asciiTheme="minorHAnsi" w:hAnsiTheme="minorHAnsi" w:cstheme="minorHAnsi"/>
          <w:sz w:val="22"/>
          <w:szCs w:val="22"/>
          <w:lang w:val="en-NZ"/>
        </w:rPr>
        <w:t>similar to</w:t>
      </w:r>
      <w:proofErr w:type="gramEnd"/>
      <w:r w:rsidRPr="002202DB">
        <w:rPr>
          <w:rFonts w:asciiTheme="minorHAnsi" w:hAnsiTheme="minorHAnsi" w:cstheme="minorHAnsi"/>
          <w:sz w:val="22"/>
          <w:szCs w:val="22"/>
          <w:lang w:val="en-NZ"/>
        </w:rPr>
        <w:t xml:space="preserve"> the point above, these consumers are obtaining distribution </w:t>
      </w:r>
      <w:bookmarkStart w:id="0" w:name="_GoBack"/>
      <w:bookmarkEnd w:id="0"/>
      <w:r w:rsidRPr="002202DB">
        <w:rPr>
          <w:rFonts w:asciiTheme="minorHAnsi" w:hAnsiTheme="minorHAnsi" w:cstheme="minorHAnsi"/>
          <w:sz w:val="22"/>
          <w:szCs w:val="22"/>
          <w:lang w:val="en-NZ"/>
        </w:rPr>
        <w:t xml:space="preserve">services (small “d” small “s”), but not via a Direct Customer Agreement (as defined in the DDA) as they are billed for network services via their retailer. The contract is backward looking with the assumption that the retailer provides energy. In the future, the customers may be their own supplier of the energy and EDBs should have scope to provide layers of distribution services. Our key points include the </w:t>
      </w:r>
      <w:r w:rsidRPr="00A16C0E">
        <w:rPr>
          <w:rFonts w:asciiTheme="minorHAnsi" w:hAnsiTheme="minorHAnsi" w:cstheme="minorHAnsi"/>
          <w:sz w:val="22"/>
          <w:szCs w:val="22"/>
          <w:lang w:val="en-NZ"/>
        </w:rPr>
        <w:t>following:</w:t>
      </w:r>
    </w:p>
    <w:p w14:paraId="3C44D412" w14:textId="5C397353" w:rsidR="00855BBB" w:rsidRPr="00A16C0E" w:rsidRDefault="00855BBB" w:rsidP="002D1360">
      <w:pPr>
        <w:pStyle w:val="ListParagraph"/>
        <w:numPr>
          <w:ilvl w:val="0"/>
          <w:numId w:val="11"/>
        </w:numPr>
        <w:spacing w:after="160" w:line="276" w:lineRule="auto"/>
        <w:ind w:left="1077"/>
        <w:rPr>
          <w:rFonts w:asciiTheme="minorHAnsi" w:hAnsiTheme="minorHAnsi" w:cstheme="minorHAnsi"/>
          <w:sz w:val="22"/>
          <w:szCs w:val="22"/>
          <w:lang w:val="en-NZ"/>
        </w:rPr>
      </w:pPr>
      <w:r w:rsidRPr="00A16C0E">
        <w:rPr>
          <w:rFonts w:asciiTheme="minorHAnsi" w:hAnsiTheme="minorHAnsi" w:cstheme="minorHAnsi"/>
          <w:sz w:val="22"/>
          <w:szCs w:val="22"/>
          <w:lang w:val="en-NZ"/>
        </w:rPr>
        <w:t xml:space="preserve">Traders can </w:t>
      </w:r>
      <w:r w:rsidR="00A16C0E" w:rsidRPr="00A16C0E">
        <w:rPr>
          <w:rFonts w:asciiTheme="minorHAnsi" w:hAnsiTheme="minorHAnsi" w:cstheme="minorHAnsi"/>
          <w:sz w:val="22"/>
          <w:szCs w:val="22"/>
          <w:lang w:val="en-NZ"/>
        </w:rPr>
        <w:t xml:space="preserve">use </w:t>
      </w:r>
      <w:r w:rsidRPr="00A16C0E">
        <w:rPr>
          <w:rFonts w:asciiTheme="minorHAnsi" w:hAnsiTheme="minorHAnsi" w:cstheme="minorHAnsi"/>
          <w:sz w:val="22"/>
          <w:szCs w:val="22"/>
          <w:lang w:val="en-NZ"/>
        </w:rPr>
        <w:t>an EDB network to provide their energy to consumers who are being billed for conveyance services by the EDB (current key accounts) and that EDBs are responsible for the debt.</w:t>
      </w:r>
    </w:p>
    <w:p w14:paraId="37887C86" w14:textId="465EDB16" w:rsidR="00855BBB" w:rsidRPr="00A16C0E" w:rsidRDefault="00855BBB" w:rsidP="002D1360">
      <w:pPr>
        <w:pStyle w:val="ListParagraph"/>
        <w:numPr>
          <w:ilvl w:val="0"/>
          <w:numId w:val="11"/>
        </w:numPr>
        <w:spacing w:after="160" w:line="276" w:lineRule="auto"/>
        <w:ind w:left="1077"/>
        <w:rPr>
          <w:rFonts w:asciiTheme="minorHAnsi" w:hAnsiTheme="minorHAnsi" w:cstheme="minorHAnsi"/>
          <w:sz w:val="22"/>
          <w:szCs w:val="22"/>
          <w:lang w:val="en-NZ"/>
        </w:rPr>
      </w:pPr>
      <w:r w:rsidRPr="00A16C0E">
        <w:rPr>
          <w:rFonts w:asciiTheme="minorHAnsi" w:hAnsiTheme="minorHAnsi" w:cstheme="minorHAnsi"/>
          <w:sz w:val="22"/>
          <w:szCs w:val="22"/>
          <w:lang w:val="en-NZ"/>
        </w:rPr>
        <w:t xml:space="preserve">EDBs should be able to offer distribution services (or a subset of distribution services) to consumers directly. </w:t>
      </w:r>
    </w:p>
    <w:p w14:paraId="0A1DED2F" w14:textId="448798DD" w:rsidR="00855BBB" w:rsidRPr="002202DB" w:rsidRDefault="00855BBB" w:rsidP="002D1360">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 xml:space="preserve">Perhaps the simple approach is </w:t>
      </w:r>
      <w:r w:rsidR="005C0EE6" w:rsidRPr="002202DB">
        <w:rPr>
          <w:rFonts w:asciiTheme="minorHAnsi" w:hAnsiTheme="minorHAnsi" w:cstheme="minorHAnsi"/>
          <w:sz w:val="22"/>
          <w:szCs w:val="22"/>
          <w:lang w:val="en-NZ"/>
        </w:rPr>
        <w:t xml:space="preserve">to </w:t>
      </w:r>
      <w:r w:rsidRPr="002202DB">
        <w:rPr>
          <w:rFonts w:asciiTheme="minorHAnsi" w:hAnsiTheme="minorHAnsi" w:cstheme="minorHAnsi"/>
          <w:sz w:val="22"/>
          <w:szCs w:val="22"/>
          <w:lang w:val="en-NZ"/>
        </w:rPr>
        <w:t>remove the words “at the Customer’s written request” and rather have “as agreed by the Customer or Customer’s agent”. And adding some wider wording and removing the “unless otherwise agreed with the Trader, includes the direct billing</w:t>
      </w:r>
      <w:r w:rsidR="005C0EE6" w:rsidRPr="002202DB">
        <w:rPr>
          <w:rFonts w:asciiTheme="minorHAnsi" w:hAnsiTheme="minorHAnsi" w:cstheme="minorHAnsi"/>
          <w:sz w:val="22"/>
          <w:szCs w:val="22"/>
          <w:lang w:val="en-NZ"/>
        </w:rPr>
        <w:t>.</w:t>
      </w:r>
      <w:r w:rsidRPr="002202DB">
        <w:rPr>
          <w:rFonts w:asciiTheme="minorHAnsi" w:hAnsiTheme="minorHAnsi" w:cstheme="minorHAnsi"/>
          <w:sz w:val="22"/>
          <w:szCs w:val="22"/>
          <w:lang w:val="en-NZ"/>
        </w:rPr>
        <w:t>..” in the definition sections.</w:t>
      </w:r>
    </w:p>
    <w:p w14:paraId="2BA0582E" w14:textId="3A48AC5D" w:rsidR="00B2355E" w:rsidRPr="002202DB" w:rsidRDefault="00B2355E" w:rsidP="004E1536">
      <w:pPr>
        <w:keepNext/>
        <w:spacing w:after="160" w:line="276" w:lineRule="auto"/>
        <w:rPr>
          <w:rFonts w:asciiTheme="minorHAnsi" w:hAnsiTheme="minorHAnsi" w:cstheme="minorHAnsi"/>
          <w:sz w:val="22"/>
          <w:szCs w:val="22"/>
          <w:lang w:val="en-NZ"/>
        </w:rPr>
      </w:pPr>
      <w:r w:rsidRPr="002202DB">
        <w:rPr>
          <w:rFonts w:asciiTheme="minorHAnsi" w:hAnsiTheme="minorHAnsi" w:cstheme="minorHAnsi"/>
          <w:b/>
          <w:bCs/>
          <w:sz w:val="22"/>
          <w:szCs w:val="22"/>
          <w:lang w:val="en-NZ"/>
        </w:rPr>
        <w:t>Billing:</w:t>
      </w:r>
      <w:r w:rsidRPr="002202DB">
        <w:rPr>
          <w:rFonts w:asciiTheme="minorHAnsi" w:hAnsiTheme="minorHAnsi" w:cstheme="minorHAnsi"/>
          <w:sz w:val="22"/>
          <w:szCs w:val="22"/>
          <w:lang w:val="en-NZ"/>
        </w:rPr>
        <w:t xml:space="preserve"> EDBs need to be able to issue pro forma invoices, not just actuals to reflect current practice. The best approach may be to have the issuing of invoices section (9.3) inserted as an operational term at the back of the contract. This would allow EDBs to improve billing processes to allow new pricing options to be implemented and promote greater retail competition and consumer benefits. </w:t>
      </w:r>
      <w:r w:rsidRPr="002202DB">
        <w:rPr>
          <w:rFonts w:asciiTheme="minorHAnsi" w:hAnsiTheme="minorHAnsi" w:cstheme="minorHAnsi"/>
          <w:sz w:val="22"/>
          <w:szCs w:val="22"/>
          <w:lang w:val="en-NZ"/>
        </w:rPr>
        <w:lastRenderedPageBreak/>
        <w:t>For example, EDBs may be able to help some small new entrant retailers billing consumers weekly by aligning their billing with the new entrant retailer’s billing process, etc.</w:t>
      </w:r>
    </w:p>
    <w:p w14:paraId="4163ACA9" w14:textId="77777777" w:rsidR="00B2355E" w:rsidRPr="002202DB" w:rsidRDefault="00B2355E" w:rsidP="00DE38ED">
      <w:pPr>
        <w:pStyle w:val="ListParagraph"/>
        <w:numPr>
          <w:ilvl w:val="0"/>
          <w:numId w:val="11"/>
        </w:numPr>
        <w:spacing w:after="16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Alternatively, the definition of Tax Invoice could be amended to make sure it can include EDB pro forma invoices.</w:t>
      </w:r>
    </w:p>
    <w:p w14:paraId="41535ABC" w14:textId="3B978BE2" w:rsidR="00855BBB" w:rsidRDefault="00B2355E" w:rsidP="001D7A29">
      <w:pPr>
        <w:pStyle w:val="ListParagraph"/>
        <w:numPr>
          <w:ilvl w:val="0"/>
          <w:numId w:val="11"/>
        </w:numPr>
        <w:spacing w:after="0" w:line="276" w:lineRule="auto"/>
        <w:ind w:left="1077"/>
        <w:rPr>
          <w:rFonts w:asciiTheme="minorHAnsi" w:hAnsiTheme="minorHAnsi" w:cstheme="minorHAnsi"/>
          <w:sz w:val="22"/>
          <w:szCs w:val="22"/>
          <w:lang w:val="en-NZ"/>
        </w:rPr>
      </w:pPr>
      <w:r w:rsidRPr="002202DB">
        <w:rPr>
          <w:rFonts w:asciiTheme="minorHAnsi" w:hAnsiTheme="minorHAnsi" w:cstheme="minorHAnsi"/>
          <w:sz w:val="22"/>
          <w:szCs w:val="22"/>
          <w:lang w:val="en-NZ"/>
        </w:rPr>
        <w:t>Or perhaps, by amending clause 9.2, EDBs could issue an estimated tax invoice even if the information is provided on time.</w:t>
      </w:r>
    </w:p>
    <w:p w14:paraId="3FDE3DC2" w14:textId="012BCAEE" w:rsidR="001D65DE" w:rsidRDefault="001D65DE" w:rsidP="001D65DE">
      <w:pPr>
        <w:spacing w:after="0" w:line="276" w:lineRule="auto"/>
        <w:rPr>
          <w:rFonts w:asciiTheme="minorHAnsi" w:hAnsiTheme="minorHAnsi" w:cstheme="minorHAnsi"/>
          <w:sz w:val="22"/>
          <w:szCs w:val="22"/>
          <w:lang w:val="en-NZ"/>
        </w:rPr>
      </w:pPr>
    </w:p>
    <w:p w14:paraId="1A3F9ECB" w14:textId="77777777" w:rsidR="001D65DE" w:rsidRP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 xml:space="preserve">If you would like to discuss any of the points raised in this submission in further </w:t>
      </w:r>
      <w:proofErr w:type="gramStart"/>
      <w:r w:rsidRPr="001D65DE">
        <w:rPr>
          <w:rFonts w:asciiTheme="minorHAnsi" w:hAnsiTheme="minorHAnsi" w:cstheme="minorHAnsi"/>
          <w:sz w:val="22"/>
          <w:szCs w:val="22"/>
          <w:lang w:val="en-NZ"/>
        </w:rPr>
        <w:t>detail</w:t>
      </w:r>
      <w:proofErr w:type="gramEnd"/>
      <w:r w:rsidRPr="001D65DE">
        <w:rPr>
          <w:rFonts w:asciiTheme="minorHAnsi" w:hAnsiTheme="minorHAnsi" w:cstheme="minorHAnsi"/>
          <w:sz w:val="22"/>
          <w:szCs w:val="22"/>
          <w:lang w:val="en-NZ"/>
        </w:rPr>
        <w:t xml:space="preserve"> please contact Richard Le Gros (details below).</w:t>
      </w:r>
    </w:p>
    <w:p w14:paraId="15BB8B98" w14:textId="77777777" w:rsidR="001D65DE" w:rsidRPr="001D65DE" w:rsidRDefault="001D65DE" w:rsidP="001D65DE">
      <w:pPr>
        <w:spacing w:after="0" w:line="276" w:lineRule="auto"/>
        <w:rPr>
          <w:rFonts w:asciiTheme="minorHAnsi" w:hAnsiTheme="minorHAnsi" w:cstheme="minorHAnsi"/>
          <w:sz w:val="22"/>
          <w:szCs w:val="22"/>
          <w:lang w:val="en-NZ"/>
        </w:rPr>
      </w:pPr>
    </w:p>
    <w:p w14:paraId="56E70263" w14:textId="77777777" w:rsidR="001D65DE" w:rsidRP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Yours sincerely,</w:t>
      </w:r>
    </w:p>
    <w:p w14:paraId="77536455" w14:textId="62341405" w:rsidR="001D65DE" w:rsidRDefault="001D65DE" w:rsidP="001D65DE">
      <w:pPr>
        <w:spacing w:after="0" w:line="276" w:lineRule="auto"/>
        <w:rPr>
          <w:rFonts w:asciiTheme="minorHAnsi" w:hAnsiTheme="minorHAnsi" w:cstheme="minorHAnsi"/>
          <w:sz w:val="22"/>
          <w:szCs w:val="22"/>
          <w:lang w:val="en-NZ"/>
        </w:rPr>
      </w:pPr>
    </w:p>
    <w:p w14:paraId="02F0F82F" w14:textId="670425C6" w:rsidR="000B77E2" w:rsidRDefault="000B77E2" w:rsidP="001D65DE">
      <w:pPr>
        <w:spacing w:after="0" w:line="276" w:lineRule="auto"/>
        <w:rPr>
          <w:rFonts w:asciiTheme="minorHAnsi" w:hAnsiTheme="minorHAnsi" w:cstheme="minorHAnsi"/>
          <w:sz w:val="22"/>
          <w:szCs w:val="22"/>
          <w:lang w:val="en-NZ"/>
        </w:rPr>
      </w:pPr>
      <w:r>
        <w:rPr>
          <w:rFonts w:asciiTheme="minorHAnsi" w:hAnsiTheme="minorHAnsi" w:cstheme="minorHAnsi"/>
          <w:noProof/>
          <w:sz w:val="22"/>
          <w:szCs w:val="22"/>
          <w:lang w:val="en-NZ"/>
        </w:rPr>
        <w:drawing>
          <wp:inline distT="0" distB="0" distL="0" distR="0" wp14:anchorId="252A0ADA" wp14:editId="6D0BEBC9">
            <wp:extent cx="1517904" cy="1600200"/>
            <wp:effectExtent l="0" t="0" r="6350" b="0"/>
            <wp:docPr id="1" name="Picture 1" descr="A close up of a b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signature.tif"/>
                    <pic:cNvPicPr/>
                  </pic:nvPicPr>
                  <pic:blipFill>
                    <a:blip r:embed="rId12">
                      <a:extLst>
                        <a:ext uri="{28A0092B-C50C-407E-A947-70E740481C1C}">
                          <a14:useLocalDpi xmlns:a14="http://schemas.microsoft.com/office/drawing/2010/main" val="0"/>
                        </a:ext>
                      </a:extLst>
                    </a:blip>
                    <a:stretch>
                      <a:fillRect/>
                    </a:stretch>
                  </pic:blipFill>
                  <pic:spPr>
                    <a:xfrm>
                      <a:off x="0" y="0"/>
                      <a:ext cx="1517904" cy="1600200"/>
                    </a:xfrm>
                    <a:prstGeom prst="rect">
                      <a:avLst/>
                    </a:prstGeom>
                  </pic:spPr>
                </pic:pic>
              </a:graphicData>
            </a:graphic>
          </wp:inline>
        </w:drawing>
      </w:r>
    </w:p>
    <w:p w14:paraId="1E4E0B14" w14:textId="77777777" w:rsidR="000B77E2" w:rsidRPr="001D65DE" w:rsidRDefault="000B77E2" w:rsidP="001D65DE">
      <w:pPr>
        <w:spacing w:after="0" w:line="276" w:lineRule="auto"/>
        <w:rPr>
          <w:rFonts w:asciiTheme="minorHAnsi" w:hAnsiTheme="minorHAnsi" w:cstheme="minorHAnsi"/>
          <w:sz w:val="22"/>
          <w:szCs w:val="22"/>
          <w:lang w:val="en-NZ"/>
        </w:rPr>
      </w:pPr>
    </w:p>
    <w:p w14:paraId="553CFEF3" w14:textId="77777777" w:rsidR="001D65DE" w:rsidRP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Graeme Peters</w:t>
      </w:r>
    </w:p>
    <w:p w14:paraId="200D83AD" w14:textId="77777777" w:rsidR="001D65DE" w:rsidRP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 xml:space="preserve">Chief Executive </w:t>
      </w:r>
    </w:p>
    <w:p w14:paraId="41813DB1" w14:textId="77777777" w:rsidR="001D65DE" w:rsidRP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Electricity Networks Association</w:t>
      </w:r>
    </w:p>
    <w:p w14:paraId="162891D6" w14:textId="77777777" w:rsidR="001D65DE" w:rsidRPr="001D65DE" w:rsidRDefault="001D65DE" w:rsidP="001D65DE">
      <w:pPr>
        <w:spacing w:after="0" w:line="276" w:lineRule="auto"/>
        <w:rPr>
          <w:rFonts w:asciiTheme="minorHAnsi" w:hAnsiTheme="minorHAnsi" w:cstheme="minorHAnsi"/>
          <w:sz w:val="22"/>
          <w:szCs w:val="22"/>
          <w:lang w:val="en-NZ"/>
        </w:rPr>
      </w:pPr>
    </w:p>
    <w:p w14:paraId="2D6F6CC0" w14:textId="63BF5D57" w:rsid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 xml:space="preserve">For more information contact Richard Le Gros, </w:t>
      </w:r>
      <w:hyperlink r:id="rId13" w:history="1">
        <w:r w:rsidRPr="002325BF">
          <w:rPr>
            <w:rStyle w:val="Hyperlink"/>
            <w:rFonts w:asciiTheme="minorHAnsi" w:hAnsiTheme="minorHAnsi" w:cstheme="minorHAnsi"/>
            <w:sz w:val="22"/>
            <w:szCs w:val="22"/>
            <w:lang w:val="en-NZ"/>
          </w:rPr>
          <w:t>richard@electricity.org.nz</w:t>
        </w:r>
      </w:hyperlink>
    </w:p>
    <w:p w14:paraId="0814C3FD" w14:textId="26ABC975" w:rsidR="001D65DE" w:rsidRPr="001D65DE" w:rsidRDefault="001D65DE" w:rsidP="001D65DE">
      <w:pPr>
        <w:spacing w:after="0" w:line="276" w:lineRule="auto"/>
        <w:rPr>
          <w:rFonts w:asciiTheme="minorHAnsi" w:hAnsiTheme="minorHAnsi" w:cstheme="minorHAnsi"/>
          <w:sz w:val="22"/>
          <w:szCs w:val="22"/>
          <w:lang w:val="en-NZ"/>
        </w:rPr>
      </w:pPr>
      <w:r w:rsidRPr="001D65DE">
        <w:rPr>
          <w:rFonts w:asciiTheme="minorHAnsi" w:hAnsiTheme="minorHAnsi" w:cstheme="minorHAnsi"/>
          <w:sz w:val="22"/>
          <w:szCs w:val="22"/>
          <w:lang w:val="en-NZ"/>
        </w:rPr>
        <w:t>Phone: 04 555 0075</w:t>
      </w:r>
    </w:p>
    <w:p w14:paraId="432D6CA3" w14:textId="5CE5B9D6" w:rsidR="00B50E79" w:rsidRPr="002202DB" w:rsidRDefault="00B50E79">
      <w:pPr>
        <w:spacing w:after="0" w:line="240" w:lineRule="auto"/>
        <w:rPr>
          <w:rFonts w:asciiTheme="minorHAnsi" w:hAnsiTheme="minorHAnsi" w:cstheme="minorHAnsi"/>
          <w:sz w:val="22"/>
          <w:szCs w:val="22"/>
          <w:lang w:val="en-AU"/>
        </w:rPr>
      </w:pPr>
      <w:r w:rsidRPr="002202DB">
        <w:rPr>
          <w:rFonts w:asciiTheme="minorHAnsi" w:hAnsiTheme="minorHAnsi" w:cstheme="minorHAnsi"/>
          <w:sz w:val="22"/>
          <w:szCs w:val="22"/>
          <w:lang w:val="en-AU"/>
        </w:rPr>
        <w:br w:type="page"/>
      </w:r>
    </w:p>
    <w:p w14:paraId="74173DA7" w14:textId="7E5572B6" w:rsidR="00294D69" w:rsidRDefault="00417213" w:rsidP="00216DF5">
      <w:pPr>
        <w:spacing w:after="0" w:line="276" w:lineRule="auto"/>
        <w:jc w:val="center"/>
        <w:rPr>
          <w:rFonts w:asciiTheme="minorHAnsi" w:hAnsiTheme="minorHAnsi" w:cstheme="minorHAnsi"/>
          <w:b/>
          <w:bCs/>
          <w:sz w:val="22"/>
          <w:szCs w:val="22"/>
          <w:lang w:val="en-AU"/>
        </w:rPr>
      </w:pPr>
      <w:r w:rsidRPr="00216DF5">
        <w:rPr>
          <w:rFonts w:asciiTheme="minorHAnsi" w:hAnsiTheme="minorHAnsi" w:cstheme="minorHAnsi"/>
          <w:b/>
          <w:bCs/>
          <w:sz w:val="22"/>
          <w:szCs w:val="22"/>
          <w:lang w:val="en-AU"/>
        </w:rPr>
        <w:lastRenderedPageBreak/>
        <w:t>Appendix A – ENA Member Companies</w:t>
      </w:r>
    </w:p>
    <w:p w14:paraId="2F1EB56A" w14:textId="482282BE" w:rsidR="00216DF5" w:rsidRDefault="00216DF5" w:rsidP="00216DF5">
      <w:pPr>
        <w:spacing w:after="0" w:line="276" w:lineRule="auto"/>
        <w:jc w:val="center"/>
        <w:rPr>
          <w:rFonts w:asciiTheme="minorHAnsi" w:hAnsiTheme="minorHAnsi" w:cstheme="minorHAnsi"/>
          <w:b/>
          <w:bCs/>
          <w:sz w:val="22"/>
          <w:szCs w:val="22"/>
          <w:lang w:val="en-AU"/>
        </w:rPr>
      </w:pPr>
    </w:p>
    <w:p w14:paraId="35A874E2" w14:textId="77777777" w:rsidR="00216DF5" w:rsidRPr="00B70AC1" w:rsidRDefault="00216DF5" w:rsidP="00216DF5">
      <w:pPr>
        <w:spacing w:after="120"/>
        <w:rPr>
          <w:rFonts w:asciiTheme="minorHAnsi" w:hAnsiTheme="minorHAnsi" w:cstheme="minorHAnsi"/>
          <w:sz w:val="22"/>
          <w:szCs w:val="22"/>
        </w:rPr>
      </w:pPr>
      <w:bookmarkStart w:id="1" w:name="OLE_LINK1"/>
      <w:r w:rsidRPr="00B70AC1">
        <w:rPr>
          <w:rFonts w:asciiTheme="minorHAnsi" w:hAnsiTheme="minorHAnsi" w:cstheme="minorHAnsi"/>
          <w:sz w:val="22"/>
          <w:szCs w:val="22"/>
        </w:rPr>
        <w:t>Alpine Energy</w:t>
      </w:r>
    </w:p>
    <w:p w14:paraId="1A98C504"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Aurora Energy</w:t>
      </w:r>
    </w:p>
    <w:p w14:paraId="71CAE5CB" w14:textId="0F7F21BA" w:rsidR="00216DF5"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Buller Electricity</w:t>
      </w:r>
    </w:p>
    <w:p w14:paraId="227E7D09" w14:textId="77777777" w:rsidR="00B40ABD" w:rsidRPr="00B70AC1" w:rsidRDefault="00B40ABD" w:rsidP="00B40ABD">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Centralines</w:t>
      </w:r>
      <w:proofErr w:type="spellEnd"/>
    </w:p>
    <w:p w14:paraId="0FDE978F"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Counties Power</w:t>
      </w:r>
    </w:p>
    <w:p w14:paraId="6968F155"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Eastland Network</w:t>
      </w:r>
    </w:p>
    <w:p w14:paraId="79FF4668"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Electra</w:t>
      </w:r>
    </w:p>
    <w:p w14:paraId="513CFFA3"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EA Networks</w:t>
      </w:r>
    </w:p>
    <w:p w14:paraId="2C27F3CC"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Horizon Networks</w:t>
      </w:r>
    </w:p>
    <w:p w14:paraId="13C09BF3" w14:textId="77777777" w:rsidR="00216DF5" w:rsidRPr="00B70AC1" w:rsidRDefault="00216DF5" w:rsidP="00216DF5">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Mainpower</w:t>
      </w:r>
      <w:proofErr w:type="spellEnd"/>
      <w:r w:rsidRPr="00B70AC1">
        <w:rPr>
          <w:rFonts w:asciiTheme="minorHAnsi" w:hAnsiTheme="minorHAnsi" w:cstheme="minorHAnsi"/>
          <w:sz w:val="22"/>
          <w:szCs w:val="22"/>
        </w:rPr>
        <w:t xml:space="preserve"> NZ</w:t>
      </w:r>
    </w:p>
    <w:p w14:paraId="5F2B6DA7"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Marlborough Lines</w:t>
      </w:r>
    </w:p>
    <w:p w14:paraId="201A783C"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Nelson Electricity</w:t>
      </w:r>
    </w:p>
    <w:p w14:paraId="32836419"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Network Tasman</w:t>
      </w:r>
    </w:p>
    <w:p w14:paraId="75A3E5CD"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Network Waitaki</w:t>
      </w:r>
    </w:p>
    <w:p w14:paraId="2BB3D7B2" w14:textId="77777777" w:rsidR="00216DF5" w:rsidRPr="00B70AC1" w:rsidRDefault="00216DF5" w:rsidP="00216DF5">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Northpower</w:t>
      </w:r>
      <w:proofErr w:type="spellEnd"/>
    </w:p>
    <w:p w14:paraId="2D6682A2"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Orion New Zealand</w:t>
      </w:r>
    </w:p>
    <w:p w14:paraId="50AE58D1" w14:textId="77777777" w:rsidR="00216DF5" w:rsidRPr="00B70AC1" w:rsidRDefault="00216DF5" w:rsidP="00216DF5">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Powerco</w:t>
      </w:r>
      <w:proofErr w:type="spellEnd"/>
    </w:p>
    <w:p w14:paraId="4B922D35" w14:textId="77777777" w:rsidR="00216DF5" w:rsidRPr="00B70AC1" w:rsidRDefault="00216DF5" w:rsidP="00216DF5">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PowerNet</w:t>
      </w:r>
      <w:proofErr w:type="spellEnd"/>
    </w:p>
    <w:p w14:paraId="41DD1795" w14:textId="77777777" w:rsidR="00216DF5" w:rsidRPr="00B70AC1" w:rsidRDefault="00216DF5" w:rsidP="00216DF5">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Scanpower</w:t>
      </w:r>
      <w:proofErr w:type="spellEnd"/>
    </w:p>
    <w:p w14:paraId="59DE73FD"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The Lines Company</w:t>
      </w:r>
    </w:p>
    <w:p w14:paraId="461487FA"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Top Energy</w:t>
      </w:r>
    </w:p>
    <w:p w14:paraId="1CB15E36"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Unison Networks</w:t>
      </w:r>
    </w:p>
    <w:p w14:paraId="233259DA"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Vector</w:t>
      </w:r>
    </w:p>
    <w:p w14:paraId="5DADB4CB" w14:textId="77777777" w:rsidR="00216DF5" w:rsidRPr="00B70AC1" w:rsidRDefault="00216DF5" w:rsidP="00216DF5">
      <w:pPr>
        <w:spacing w:after="120"/>
        <w:rPr>
          <w:rFonts w:asciiTheme="minorHAnsi" w:hAnsiTheme="minorHAnsi" w:cstheme="minorHAnsi"/>
          <w:sz w:val="22"/>
          <w:szCs w:val="22"/>
        </w:rPr>
      </w:pPr>
      <w:proofErr w:type="spellStart"/>
      <w:r w:rsidRPr="00B70AC1">
        <w:rPr>
          <w:rFonts w:asciiTheme="minorHAnsi" w:hAnsiTheme="minorHAnsi" w:cstheme="minorHAnsi"/>
          <w:sz w:val="22"/>
          <w:szCs w:val="22"/>
        </w:rPr>
        <w:t>Waipa</w:t>
      </w:r>
      <w:proofErr w:type="spellEnd"/>
      <w:r w:rsidRPr="00B70AC1">
        <w:rPr>
          <w:rFonts w:asciiTheme="minorHAnsi" w:hAnsiTheme="minorHAnsi" w:cstheme="minorHAnsi"/>
          <w:sz w:val="22"/>
          <w:szCs w:val="22"/>
        </w:rPr>
        <w:t xml:space="preserve"> Networks</w:t>
      </w:r>
    </w:p>
    <w:p w14:paraId="6BFDBD37"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WEL Networks</w:t>
      </w:r>
    </w:p>
    <w:p w14:paraId="0050CF49" w14:textId="77777777" w:rsidR="00216DF5" w:rsidRPr="00B70AC1" w:rsidRDefault="00216DF5" w:rsidP="00216DF5">
      <w:pPr>
        <w:spacing w:after="120"/>
        <w:rPr>
          <w:rFonts w:asciiTheme="minorHAnsi" w:hAnsiTheme="minorHAnsi" w:cstheme="minorHAnsi"/>
          <w:sz w:val="22"/>
          <w:szCs w:val="22"/>
        </w:rPr>
      </w:pPr>
      <w:r w:rsidRPr="00B70AC1">
        <w:rPr>
          <w:rFonts w:asciiTheme="minorHAnsi" w:hAnsiTheme="minorHAnsi" w:cstheme="minorHAnsi"/>
          <w:sz w:val="22"/>
          <w:szCs w:val="22"/>
        </w:rPr>
        <w:t>Wellington Electricity</w:t>
      </w:r>
    </w:p>
    <w:p w14:paraId="372CD100" w14:textId="77777777" w:rsidR="00216DF5" w:rsidRPr="00B70AC1" w:rsidRDefault="00216DF5" w:rsidP="00216DF5">
      <w:pPr>
        <w:spacing w:after="120"/>
        <w:rPr>
          <w:rFonts w:asciiTheme="minorHAnsi" w:hAnsiTheme="minorHAnsi" w:cstheme="minorHAnsi"/>
        </w:rPr>
      </w:pPr>
      <w:proofErr w:type="spellStart"/>
      <w:r w:rsidRPr="00B70AC1">
        <w:rPr>
          <w:rFonts w:asciiTheme="minorHAnsi" w:hAnsiTheme="minorHAnsi" w:cstheme="minorHAnsi"/>
          <w:sz w:val="22"/>
          <w:szCs w:val="22"/>
        </w:rPr>
        <w:t>Westpower</w:t>
      </w:r>
      <w:bookmarkEnd w:id="1"/>
      <w:proofErr w:type="spellEnd"/>
    </w:p>
    <w:p w14:paraId="6EFE87B1" w14:textId="77777777" w:rsidR="00216DF5" w:rsidRPr="00216DF5" w:rsidRDefault="00216DF5" w:rsidP="00216DF5">
      <w:pPr>
        <w:spacing w:after="0" w:line="276" w:lineRule="auto"/>
        <w:rPr>
          <w:rFonts w:asciiTheme="minorHAnsi" w:hAnsiTheme="minorHAnsi" w:cstheme="minorHAnsi"/>
          <w:b/>
          <w:bCs/>
          <w:sz w:val="22"/>
          <w:szCs w:val="22"/>
          <w:lang w:val="en-AU"/>
        </w:rPr>
      </w:pPr>
    </w:p>
    <w:sectPr w:rsidR="00216DF5" w:rsidRPr="00216DF5" w:rsidSect="0049554E">
      <w:footerReference w:type="default" r:id="rId14"/>
      <w:headerReference w:type="first" r:id="rId15"/>
      <w:footerReference w:type="first" r:id="rId16"/>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3984" w14:textId="77777777" w:rsidR="005B400F" w:rsidRDefault="005B400F" w:rsidP="00CF7C9E">
      <w:r>
        <w:separator/>
      </w:r>
    </w:p>
  </w:endnote>
  <w:endnote w:type="continuationSeparator" w:id="0">
    <w:p w14:paraId="4E490436" w14:textId="77777777" w:rsidR="005B400F" w:rsidRDefault="005B400F" w:rsidP="00C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45C8" w14:textId="77777777" w:rsidR="0049554E" w:rsidRDefault="0049554E">
    <w:r>
      <w:rPr>
        <w:noProof/>
      </w:rPr>
      <w:drawing>
        <wp:anchor distT="0" distB="0" distL="114300" distR="114300" simplePos="0" relativeHeight="251661312" behindDoc="1" locked="0" layoutInCell="1" allowOverlap="1" wp14:anchorId="7F81B751" wp14:editId="2E62A0CD">
          <wp:simplePos x="0" y="0"/>
          <wp:positionH relativeFrom="page">
            <wp:align>center</wp:align>
          </wp:positionH>
          <wp:positionV relativeFrom="page">
            <wp:align>bottom</wp:align>
          </wp:positionV>
          <wp:extent cx="7560000" cy="900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962 ENA L-head footer w-ur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D242" w14:textId="77777777" w:rsidR="00B25FE8" w:rsidRDefault="0049554E">
    <w:r>
      <w:rPr>
        <w:noProof/>
      </w:rPr>
      <w:drawing>
        <wp:anchor distT="0" distB="0" distL="114300" distR="114300" simplePos="0" relativeHeight="251659264" behindDoc="1" locked="0" layoutInCell="1" allowOverlap="1" wp14:anchorId="7460329F" wp14:editId="2982FCD7">
          <wp:simplePos x="0" y="0"/>
          <wp:positionH relativeFrom="page">
            <wp:align>center</wp:align>
          </wp:positionH>
          <wp:positionV relativeFrom="page">
            <wp:align>bottom</wp:align>
          </wp:positionV>
          <wp:extent cx="7560000" cy="900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962 ENA L-head footer w-ur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51BD" w14:textId="77777777" w:rsidR="005B400F" w:rsidRDefault="005B400F" w:rsidP="00CF7C9E">
      <w:r>
        <w:separator/>
      </w:r>
    </w:p>
  </w:footnote>
  <w:footnote w:type="continuationSeparator" w:id="0">
    <w:p w14:paraId="2830C1C6" w14:textId="77777777" w:rsidR="005B400F" w:rsidRDefault="005B400F" w:rsidP="00CF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7A62" w14:textId="77777777" w:rsidR="00110FF7" w:rsidRDefault="00B25FE8">
    <w:r>
      <w:rPr>
        <w:noProof/>
      </w:rPr>
      <w:drawing>
        <wp:anchor distT="0" distB="0" distL="114300" distR="114300" simplePos="0" relativeHeight="251658240" behindDoc="0" locked="0" layoutInCell="1" allowOverlap="1" wp14:anchorId="18BFB46A" wp14:editId="0D78F51E">
          <wp:simplePos x="0" y="0"/>
          <wp:positionH relativeFrom="page">
            <wp:align>center</wp:align>
          </wp:positionH>
          <wp:positionV relativeFrom="page">
            <wp:align>top</wp:align>
          </wp:positionV>
          <wp:extent cx="7560000" cy="27000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962 ENA L-head .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7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30DD"/>
    <w:multiLevelType w:val="hybridMultilevel"/>
    <w:tmpl w:val="8A22E67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C40011"/>
    <w:multiLevelType w:val="hybridMultilevel"/>
    <w:tmpl w:val="901C2096"/>
    <w:lvl w:ilvl="0" w:tplc="670A6EA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C13CAD"/>
    <w:multiLevelType w:val="hybridMultilevel"/>
    <w:tmpl w:val="35FA3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A3799F"/>
    <w:multiLevelType w:val="hybridMultilevel"/>
    <w:tmpl w:val="8A22E67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F26794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5B3A7F"/>
    <w:multiLevelType w:val="hybridMultilevel"/>
    <w:tmpl w:val="94E23C90"/>
    <w:lvl w:ilvl="0" w:tplc="32262A2E">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E316CC"/>
    <w:multiLevelType w:val="hybridMultilevel"/>
    <w:tmpl w:val="45D469B0"/>
    <w:lvl w:ilvl="0" w:tplc="670A6EA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09707C7"/>
    <w:multiLevelType w:val="hybridMultilevel"/>
    <w:tmpl w:val="9AD689CE"/>
    <w:lvl w:ilvl="0" w:tplc="32262A2E">
      <w:start w:val="1"/>
      <w:numFmt w:val="decimal"/>
      <w:lvlText w:val="%1."/>
      <w:lvlJc w:val="left"/>
      <w:pPr>
        <w:ind w:left="720" w:hanging="360"/>
      </w:pPr>
      <w:rPr>
        <w:rFonts w:hint="default"/>
        <w:b/>
        <w:b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55018C"/>
    <w:multiLevelType w:val="hybridMultilevel"/>
    <w:tmpl w:val="E8BC2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A468C9"/>
    <w:multiLevelType w:val="hybridMultilevel"/>
    <w:tmpl w:val="44DCF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FF7FE2"/>
    <w:multiLevelType w:val="hybridMultilevel"/>
    <w:tmpl w:val="C16600D2"/>
    <w:lvl w:ilvl="0" w:tplc="670A6EA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C66970"/>
    <w:multiLevelType w:val="hybridMultilevel"/>
    <w:tmpl w:val="E7D092B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CDE4184"/>
    <w:multiLevelType w:val="hybridMultilevel"/>
    <w:tmpl w:val="3C8AEA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9"/>
  </w:num>
  <w:num w:numId="6">
    <w:abstractNumId w:val="12"/>
  </w:num>
  <w:num w:numId="7">
    <w:abstractNumId w:val="2"/>
  </w:num>
  <w:num w:numId="8">
    <w:abstractNumId w:val="7"/>
  </w:num>
  <w:num w:numId="9">
    <w:abstractNumId w:val="5"/>
  </w:num>
  <w:num w:numId="10">
    <w:abstractNumId w:val="8"/>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9"/>
    <w:rsid w:val="00003476"/>
    <w:rsid w:val="00005285"/>
    <w:rsid w:val="00060609"/>
    <w:rsid w:val="000A1E6A"/>
    <w:rsid w:val="000B77E2"/>
    <w:rsid w:val="0010746E"/>
    <w:rsid w:val="00110A89"/>
    <w:rsid w:val="00110FF7"/>
    <w:rsid w:val="0013272D"/>
    <w:rsid w:val="00194B7F"/>
    <w:rsid w:val="001A2AA1"/>
    <w:rsid w:val="001D65DE"/>
    <w:rsid w:val="001E3549"/>
    <w:rsid w:val="001F59BC"/>
    <w:rsid w:val="00216DF5"/>
    <w:rsid w:val="002202DB"/>
    <w:rsid w:val="002473F1"/>
    <w:rsid w:val="00294D69"/>
    <w:rsid w:val="002A14B6"/>
    <w:rsid w:val="002C51C8"/>
    <w:rsid w:val="002C68CB"/>
    <w:rsid w:val="002D1360"/>
    <w:rsid w:val="002D1E0F"/>
    <w:rsid w:val="00311786"/>
    <w:rsid w:val="00316268"/>
    <w:rsid w:val="003538E7"/>
    <w:rsid w:val="00385492"/>
    <w:rsid w:val="00393295"/>
    <w:rsid w:val="0040174D"/>
    <w:rsid w:val="00410B00"/>
    <w:rsid w:val="00417213"/>
    <w:rsid w:val="00463815"/>
    <w:rsid w:val="00465F34"/>
    <w:rsid w:val="0049554E"/>
    <w:rsid w:val="004E1536"/>
    <w:rsid w:val="004E1763"/>
    <w:rsid w:val="004F31A1"/>
    <w:rsid w:val="004F5C2A"/>
    <w:rsid w:val="005550F1"/>
    <w:rsid w:val="00574B72"/>
    <w:rsid w:val="00590F16"/>
    <w:rsid w:val="005A5D8D"/>
    <w:rsid w:val="005B400F"/>
    <w:rsid w:val="005C0EE6"/>
    <w:rsid w:val="005F0204"/>
    <w:rsid w:val="00604E97"/>
    <w:rsid w:val="006407C3"/>
    <w:rsid w:val="00645C96"/>
    <w:rsid w:val="00676037"/>
    <w:rsid w:val="006C1E7C"/>
    <w:rsid w:val="006C3839"/>
    <w:rsid w:val="006C3BCC"/>
    <w:rsid w:val="007811A2"/>
    <w:rsid w:val="007B5C1E"/>
    <w:rsid w:val="007C3C66"/>
    <w:rsid w:val="007F095E"/>
    <w:rsid w:val="00815A9A"/>
    <w:rsid w:val="008335B6"/>
    <w:rsid w:val="00845800"/>
    <w:rsid w:val="00845E49"/>
    <w:rsid w:val="00855BBB"/>
    <w:rsid w:val="0086159E"/>
    <w:rsid w:val="0088550B"/>
    <w:rsid w:val="008B73D8"/>
    <w:rsid w:val="008C059C"/>
    <w:rsid w:val="008E4ECF"/>
    <w:rsid w:val="008F0C03"/>
    <w:rsid w:val="00942D30"/>
    <w:rsid w:val="00946F50"/>
    <w:rsid w:val="00962F22"/>
    <w:rsid w:val="00965135"/>
    <w:rsid w:val="00983DD4"/>
    <w:rsid w:val="0099163A"/>
    <w:rsid w:val="009945E9"/>
    <w:rsid w:val="009A7601"/>
    <w:rsid w:val="009B0D42"/>
    <w:rsid w:val="00A06467"/>
    <w:rsid w:val="00A1077C"/>
    <w:rsid w:val="00A15C7B"/>
    <w:rsid w:val="00A16C0E"/>
    <w:rsid w:val="00A33860"/>
    <w:rsid w:val="00A52242"/>
    <w:rsid w:val="00A56A67"/>
    <w:rsid w:val="00A93D52"/>
    <w:rsid w:val="00A96461"/>
    <w:rsid w:val="00AB1335"/>
    <w:rsid w:val="00AC32B4"/>
    <w:rsid w:val="00AE5C6E"/>
    <w:rsid w:val="00B11362"/>
    <w:rsid w:val="00B2355E"/>
    <w:rsid w:val="00B25FE8"/>
    <w:rsid w:val="00B40ABD"/>
    <w:rsid w:val="00B50E79"/>
    <w:rsid w:val="00B54F1F"/>
    <w:rsid w:val="00B812D1"/>
    <w:rsid w:val="00B96B9C"/>
    <w:rsid w:val="00BC0A15"/>
    <w:rsid w:val="00BC6633"/>
    <w:rsid w:val="00C45F3D"/>
    <w:rsid w:val="00C61D88"/>
    <w:rsid w:val="00C74E59"/>
    <w:rsid w:val="00CA1370"/>
    <w:rsid w:val="00CC2CCD"/>
    <w:rsid w:val="00CD149E"/>
    <w:rsid w:val="00CE4078"/>
    <w:rsid w:val="00CF3A2A"/>
    <w:rsid w:val="00CF7736"/>
    <w:rsid w:val="00CF7C9E"/>
    <w:rsid w:val="00D021C6"/>
    <w:rsid w:val="00D07A19"/>
    <w:rsid w:val="00D159D9"/>
    <w:rsid w:val="00D27CAC"/>
    <w:rsid w:val="00DB5CCC"/>
    <w:rsid w:val="00DE38ED"/>
    <w:rsid w:val="00E240E4"/>
    <w:rsid w:val="00E24F7D"/>
    <w:rsid w:val="00E51F32"/>
    <w:rsid w:val="00E74EB3"/>
    <w:rsid w:val="00E801A1"/>
    <w:rsid w:val="00E84C2A"/>
    <w:rsid w:val="00EE06CF"/>
    <w:rsid w:val="00F06A5B"/>
    <w:rsid w:val="00F23DA8"/>
    <w:rsid w:val="00F5132A"/>
    <w:rsid w:val="00F5656B"/>
    <w:rsid w:val="00FB3627"/>
    <w:rsid w:val="00FD3C9E"/>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1A72"/>
  <w15:chartTrackingRefBased/>
  <w15:docId w15:val="{B0C40F2D-CEA1-4144-8667-BC1125F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9554E"/>
    <w:pPr>
      <w:spacing w:after="60" w:line="312" w:lineRule="auto"/>
    </w:pPr>
    <w:rPr>
      <w:rFonts w:ascii="Times New Roman" w:hAnsi="Times New Roman"/>
      <w:sz w:val="20"/>
    </w:rPr>
  </w:style>
  <w:style w:type="paragraph" w:styleId="Heading1">
    <w:name w:val="heading 1"/>
    <w:basedOn w:val="Normal"/>
    <w:next w:val="Normal"/>
    <w:link w:val="Heading1Char"/>
    <w:uiPriority w:val="9"/>
    <w:qFormat/>
    <w:rsid w:val="0049554E"/>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54E"/>
    <w:pPr>
      <w:keepNext/>
      <w:keepLines/>
      <w:spacing w:before="40"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7A19"/>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4E"/>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9554E"/>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49554E"/>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49554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9554E"/>
    <w:pPr>
      <w:numPr>
        <w:ilvl w:val="1"/>
      </w:numPr>
      <w:spacing w:after="160"/>
    </w:pPr>
    <w:rPr>
      <w:rFonts w:ascii="Arial" w:eastAsiaTheme="minorEastAsia" w:hAnsi="Arial"/>
      <w:color w:val="5A5A5A" w:themeColor="text1" w:themeTint="A5"/>
      <w:spacing w:val="15"/>
      <w:sz w:val="22"/>
      <w:szCs w:val="22"/>
    </w:rPr>
  </w:style>
  <w:style w:type="character" w:customStyle="1" w:styleId="SubtitleChar">
    <w:name w:val="Subtitle Char"/>
    <w:basedOn w:val="DefaultParagraphFont"/>
    <w:link w:val="Subtitle"/>
    <w:uiPriority w:val="11"/>
    <w:rsid w:val="0049554E"/>
    <w:rPr>
      <w:rFonts w:ascii="Arial" w:eastAsiaTheme="minorEastAsia" w:hAnsi="Arial"/>
      <w:color w:val="5A5A5A" w:themeColor="text1" w:themeTint="A5"/>
      <w:spacing w:val="15"/>
      <w:sz w:val="22"/>
      <w:szCs w:val="22"/>
    </w:rPr>
  </w:style>
  <w:style w:type="character" w:styleId="Hyperlink">
    <w:name w:val="Hyperlink"/>
    <w:basedOn w:val="DefaultParagraphFont"/>
    <w:uiPriority w:val="99"/>
    <w:unhideWhenUsed/>
    <w:rsid w:val="00294D69"/>
    <w:rPr>
      <w:color w:val="0563C1" w:themeColor="hyperlink"/>
      <w:u w:val="single"/>
    </w:rPr>
  </w:style>
  <w:style w:type="character" w:styleId="UnresolvedMention">
    <w:name w:val="Unresolved Mention"/>
    <w:basedOn w:val="DefaultParagraphFont"/>
    <w:uiPriority w:val="99"/>
    <w:rsid w:val="00294D69"/>
    <w:rPr>
      <w:color w:val="605E5C"/>
      <w:shd w:val="clear" w:color="auto" w:fill="E1DFDD"/>
    </w:rPr>
  </w:style>
  <w:style w:type="paragraph" w:styleId="BalloonText">
    <w:name w:val="Balloon Text"/>
    <w:basedOn w:val="Normal"/>
    <w:link w:val="BalloonTextChar"/>
    <w:uiPriority w:val="99"/>
    <w:semiHidden/>
    <w:unhideWhenUsed/>
    <w:rsid w:val="00294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69"/>
    <w:rPr>
      <w:rFonts w:ascii="Segoe UI" w:hAnsi="Segoe UI" w:cs="Segoe UI"/>
      <w:sz w:val="18"/>
      <w:szCs w:val="18"/>
    </w:rPr>
  </w:style>
  <w:style w:type="character" w:styleId="CommentReference">
    <w:name w:val="annotation reference"/>
    <w:basedOn w:val="DefaultParagraphFont"/>
    <w:uiPriority w:val="99"/>
    <w:semiHidden/>
    <w:unhideWhenUsed/>
    <w:rsid w:val="00294D69"/>
    <w:rPr>
      <w:sz w:val="16"/>
      <w:szCs w:val="16"/>
    </w:rPr>
  </w:style>
  <w:style w:type="paragraph" w:styleId="CommentText">
    <w:name w:val="annotation text"/>
    <w:basedOn w:val="Normal"/>
    <w:link w:val="CommentTextChar"/>
    <w:uiPriority w:val="99"/>
    <w:semiHidden/>
    <w:unhideWhenUsed/>
    <w:rsid w:val="00294D69"/>
    <w:pPr>
      <w:spacing w:after="160" w:line="240" w:lineRule="auto"/>
    </w:pPr>
    <w:rPr>
      <w:rFonts w:asciiTheme="minorHAnsi" w:hAnsiTheme="minorHAnsi"/>
      <w:szCs w:val="20"/>
      <w:lang w:val="en-NZ"/>
    </w:rPr>
  </w:style>
  <w:style w:type="character" w:customStyle="1" w:styleId="CommentTextChar">
    <w:name w:val="Comment Text Char"/>
    <w:basedOn w:val="DefaultParagraphFont"/>
    <w:link w:val="CommentText"/>
    <w:uiPriority w:val="99"/>
    <w:semiHidden/>
    <w:rsid w:val="00294D69"/>
    <w:rPr>
      <w:sz w:val="20"/>
      <w:szCs w:val="20"/>
      <w:lang w:val="en-NZ"/>
    </w:rPr>
  </w:style>
  <w:style w:type="paragraph" w:styleId="ListParagraph">
    <w:name w:val="List Paragraph"/>
    <w:basedOn w:val="Normal"/>
    <w:uiPriority w:val="34"/>
    <w:qFormat/>
    <w:rsid w:val="00A56A67"/>
    <w:pPr>
      <w:ind w:left="720"/>
      <w:contextualSpacing/>
    </w:pPr>
  </w:style>
  <w:style w:type="paragraph" w:styleId="Header">
    <w:name w:val="header"/>
    <w:basedOn w:val="Normal"/>
    <w:link w:val="HeaderChar"/>
    <w:uiPriority w:val="99"/>
    <w:unhideWhenUsed/>
    <w:rsid w:val="00A5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67"/>
    <w:rPr>
      <w:rFonts w:ascii="Times New Roman" w:hAnsi="Times New Roman"/>
      <w:sz w:val="20"/>
    </w:rPr>
  </w:style>
  <w:style w:type="paragraph" w:styleId="Footer">
    <w:name w:val="footer"/>
    <w:basedOn w:val="Normal"/>
    <w:link w:val="FooterChar"/>
    <w:uiPriority w:val="99"/>
    <w:unhideWhenUsed/>
    <w:rsid w:val="00A5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67"/>
    <w:rPr>
      <w:rFonts w:ascii="Times New Roman" w:hAnsi="Times New Roman"/>
      <w:sz w:val="20"/>
    </w:rPr>
  </w:style>
  <w:style w:type="paragraph" w:styleId="EndnoteText">
    <w:name w:val="endnote text"/>
    <w:basedOn w:val="Normal"/>
    <w:link w:val="EndnoteTextChar"/>
    <w:uiPriority w:val="99"/>
    <w:semiHidden/>
    <w:unhideWhenUsed/>
    <w:rsid w:val="00194B7F"/>
    <w:pPr>
      <w:spacing w:after="0" w:line="240" w:lineRule="auto"/>
    </w:pPr>
    <w:rPr>
      <w:szCs w:val="20"/>
    </w:rPr>
  </w:style>
  <w:style w:type="character" w:customStyle="1" w:styleId="EndnoteTextChar">
    <w:name w:val="Endnote Text Char"/>
    <w:basedOn w:val="DefaultParagraphFont"/>
    <w:link w:val="EndnoteText"/>
    <w:uiPriority w:val="99"/>
    <w:semiHidden/>
    <w:rsid w:val="00194B7F"/>
    <w:rPr>
      <w:rFonts w:ascii="Times New Roman" w:hAnsi="Times New Roman"/>
      <w:sz w:val="20"/>
      <w:szCs w:val="20"/>
    </w:rPr>
  </w:style>
  <w:style w:type="character" w:styleId="EndnoteReference">
    <w:name w:val="endnote reference"/>
    <w:basedOn w:val="DefaultParagraphFont"/>
    <w:uiPriority w:val="99"/>
    <w:semiHidden/>
    <w:unhideWhenUsed/>
    <w:rsid w:val="00194B7F"/>
    <w:rPr>
      <w:vertAlign w:val="superscript"/>
    </w:rPr>
  </w:style>
  <w:style w:type="paragraph" w:styleId="FootnoteText">
    <w:name w:val="footnote text"/>
    <w:basedOn w:val="Normal"/>
    <w:link w:val="FootnoteTextChar"/>
    <w:uiPriority w:val="99"/>
    <w:semiHidden/>
    <w:unhideWhenUsed/>
    <w:rsid w:val="00194B7F"/>
    <w:pPr>
      <w:spacing w:after="0" w:line="240" w:lineRule="auto"/>
    </w:pPr>
    <w:rPr>
      <w:szCs w:val="20"/>
    </w:rPr>
  </w:style>
  <w:style w:type="character" w:customStyle="1" w:styleId="FootnoteTextChar">
    <w:name w:val="Footnote Text Char"/>
    <w:basedOn w:val="DefaultParagraphFont"/>
    <w:link w:val="FootnoteText"/>
    <w:uiPriority w:val="99"/>
    <w:semiHidden/>
    <w:rsid w:val="00194B7F"/>
    <w:rPr>
      <w:rFonts w:ascii="Times New Roman" w:hAnsi="Times New Roman"/>
      <w:sz w:val="20"/>
      <w:szCs w:val="20"/>
    </w:rPr>
  </w:style>
  <w:style w:type="character" w:styleId="FootnoteReference">
    <w:name w:val="footnote reference"/>
    <w:basedOn w:val="DefaultParagraphFont"/>
    <w:uiPriority w:val="99"/>
    <w:semiHidden/>
    <w:unhideWhenUsed/>
    <w:rsid w:val="00194B7F"/>
    <w:rPr>
      <w:vertAlign w:val="superscript"/>
    </w:rPr>
  </w:style>
  <w:style w:type="character" w:customStyle="1" w:styleId="Heading3Char">
    <w:name w:val="Heading 3 Char"/>
    <w:basedOn w:val="DefaultParagraphFont"/>
    <w:link w:val="Heading3"/>
    <w:uiPriority w:val="9"/>
    <w:semiHidden/>
    <w:rsid w:val="00D07A1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92227">
      <w:bodyDiv w:val="1"/>
      <w:marLeft w:val="0"/>
      <w:marRight w:val="0"/>
      <w:marTop w:val="0"/>
      <w:marBottom w:val="0"/>
      <w:divBdr>
        <w:top w:val="none" w:sz="0" w:space="0" w:color="auto"/>
        <w:left w:val="none" w:sz="0" w:space="0" w:color="auto"/>
        <w:bottom w:val="none" w:sz="0" w:space="0" w:color="auto"/>
        <w:right w:val="none" w:sz="0" w:space="0" w:color="auto"/>
      </w:divBdr>
    </w:div>
    <w:div w:id="737673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electricity.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missions@ea.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774FB7984CBF44B18DA8ECDB04385E" ma:contentTypeVersion="2" ma:contentTypeDescription="Create a new document." ma:contentTypeScope="" ma:versionID="0ad20c45d28f2e56af122f431111343c">
  <xsd:schema xmlns:xsd="http://www.w3.org/2001/XMLSchema" xmlns:xs="http://www.w3.org/2001/XMLSchema" xmlns:p="http://schemas.microsoft.com/office/2006/metadata/properties" xmlns:ns2="bf1638ac-abf8-4a8f-a41f-d5b47c754b2e" targetNamespace="http://schemas.microsoft.com/office/2006/metadata/properties" ma:root="true" ma:fieldsID="84ff7c6ece857779c39769ce63b47a0a" ns2:_="">
    <xsd:import namespace="bf1638ac-abf8-4a8f-a41f-d5b47c754b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38ac-abf8-4a8f-a41f-d5b47c754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23F2-88BE-48BE-969F-32F69D7F97E3}">
  <ds:schemaRefs>
    <ds:schemaRef ds:uri="http://schemas.microsoft.com/sharepoint/v3/contenttype/forms"/>
  </ds:schemaRefs>
</ds:datastoreItem>
</file>

<file path=customXml/itemProps2.xml><?xml version="1.0" encoding="utf-8"?>
<ds:datastoreItem xmlns:ds="http://schemas.openxmlformats.org/officeDocument/2006/customXml" ds:itemID="{FE46A9F8-D9B9-4898-9D66-6C349D02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38ac-abf8-4a8f-a41f-d5b47c754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DC4D7-E5D4-435C-96FF-CDC128154A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A12FB-77E2-4501-AE3B-EA75991B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 Gros</dc:creator>
  <cp:keywords/>
  <dc:description/>
  <cp:lastModifiedBy>Richard Le Gros</cp:lastModifiedBy>
  <cp:revision>3</cp:revision>
  <dcterms:created xsi:type="dcterms:W3CDTF">2019-10-14T19:38:00Z</dcterms:created>
  <dcterms:modified xsi:type="dcterms:W3CDTF">2019-10-14T20:04:00Z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0x01010064774FB7984CBF44B18DA8ECDB04385E</vt:lpwstr>
  </property>
</Properties>
</file>