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9FF88" w14:textId="0E806571" w:rsidR="002658F1" w:rsidRPr="00F259E4" w:rsidRDefault="00A26E71" w:rsidP="002658F1">
      <w:pPr>
        <w:pStyle w:val="paragraph"/>
        <w:ind w:left="705" w:right="621" w:hanging="705"/>
        <w:textAlignment w:val="baseline"/>
        <w:rPr>
          <w:rStyle w:val="eop"/>
          <w:rFonts w:asciiTheme="minorHAnsi" w:hAnsiTheme="minorHAnsi" w:cstheme="minorHAnsi"/>
          <w:sz w:val="22"/>
          <w:szCs w:val="22"/>
          <w:lang w:val="en-US"/>
        </w:rPr>
      </w:pPr>
      <w:bookmarkStart w:id="0" w:name="_GoBack"/>
      <w:bookmarkEnd w:id="0"/>
      <w:r>
        <w:rPr>
          <w:rFonts w:asciiTheme="minorHAnsi" w:hAnsiTheme="minorHAnsi" w:cstheme="minorHAnsi"/>
          <w:noProof/>
          <w:sz w:val="22"/>
          <w:szCs w:val="22"/>
          <w:lang w:val="en-GB" w:eastAsia="en-GB"/>
        </w:rPr>
        <w:drawing>
          <wp:anchor distT="0" distB="0" distL="114300" distR="114300" simplePos="0" relativeHeight="251658243" behindDoc="1" locked="0" layoutInCell="1" allowOverlap="1" wp14:anchorId="757FF897" wp14:editId="18984553">
            <wp:simplePos x="0" y="0"/>
            <wp:positionH relativeFrom="column">
              <wp:posOffset>-177165</wp:posOffset>
            </wp:positionH>
            <wp:positionV relativeFrom="paragraph">
              <wp:posOffset>-340360</wp:posOffset>
            </wp:positionV>
            <wp:extent cx="1880235" cy="1451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A logo RBG.jpg"/>
                    <pic:cNvPicPr/>
                  </pic:nvPicPr>
                  <pic:blipFill>
                    <a:blip r:embed="rId11">
                      <a:extLst>
                        <a:ext uri="{28A0092B-C50C-407E-A947-70E740481C1C}">
                          <a14:useLocalDpi xmlns:a14="http://schemas.microsoft.com/office/drawing/2010/main" val="0"/>
                        </a:ext>
                      </a:extLst>
                    </a:blip>
                    <a:stretch>
                      <a:fillRect/>
                    </a:stretch>
                  </pic:blipFill>
                  <pic:spPr>
                    <a:xfrm>
                      <a:off x="0" y="0"/>
                      <a:ext cx="1880235" cy="1451790"/>
                    </a:xfrm>
                    <a:prstGeom prst="rect">
                      <a:avLst/>
                    </a:prstGeom>
                  </pic:spPr>
                </pic:pic>
              </a:graphicData>
            </a:graphic>
            <wp14:sizeRelH relativeFrom="page">
              <wp14:pctWidth>0</wp14:pctWidth>
            </wp14:sizeRelH>
            <wp14:sizeRelV relativeFrom="page">
              <wp14:pctHeight>0</wp14:pctHeight>
            </wp14:sizeRelV>
          </wp:anchor>
        </w:drawing>
      </w:r>
    </w:p>
    <w:p w14:paraId="4AACF061" w14:textId="77777777" w:rsidR="002658F1" w:rsidRPr="00F259E4" w:rsidRDefault="002658F1" w:rsidP="002658F1">
      <w:pPr>
        <w:spacing w:after="0"/>
        <w:ind w:right="621"/>
        <w:rPr>
          <w:rFonts w:cstheme="minorHAnsi"/>
        </w:rPr>
      </w:pPr>
    </w:p>
    <w:p w14:paraId="678E8942" w14:textId="76CFD398" w:rsidR="002658F1" w:rsidRPr="00F259E4" w:rsidRDefault="002658F1" w:rsidP="002658F1">
      <w:pPr>
        <w:spacing w:after="0"/>
        <w:ind w:right="621"/>
        <w:rPr>
          <w:rFonts w:cstheme="minorHAnsi"/>
        </w:rPr>
      </w:pPr>
    </w:p>
    <w:p w14:paraId="6234A8E1" w14:textId="1892521E" w:rsidR="002658F1" w:rsidRPr="00F259E4" w:rsidRDefault="002658F1" w:rsidP="002658F1">
      <w:pPr>
        <w:rPr>
          <w:rFonts w:cstheme="minorHAnsi"/>
        </w:rPr>
      </w:pPr>
    </w:p>
    <w:p w14:paraId="193F9BE7" w14:textId="523E7AA6" w:rsidR="002658F1" w:rsidRPr="00F259E4" w:rsidRDefault="002658F1" w:rsidP="002658F1">
      <w:pPr>
        <w:rPr>
          <w:rFonts w:cstheme="minorHAnsi"/>
          <w:lang w:val="en-AU"/>
        </w:rPr>
      </w:pPr>
    </w:p>
    <w:p w14:paraId="6864C54E" w14:textId="2E41362E" w:rsidR="00EF7170" w:rsidRPr="00F259E4" w:rsidRDefault="00EF7170" w:rsidP="00EF7170">
      <w:pPr>
        <w:rPr>
          <w:rFonts w:cstheme="minorHAnsi"/>
          <w:color w:val="000000" w:themeColor="text1"/>
        </w:rPr>
      </w:pPr>
    </w:p>
    <w:p w14:paraId="7CF22EBA" w14:textId="16C85356" w:rsidR="00EF7170" w:rsidRPr="00F259E4" w:rsidRDefault="00A26E71" w:rsidP="00EF7170">
      <w:pPr>
        <w:rPr>
          <w:rFonts w:cstheme="minorHAnsi"/>
          <w:color w:val="000000" w:themeColor="text1"/>
        </w:rPr>
      </w:pPr>
      <w:r w:rsidRPr="00F259E4">
        <w:rPr>
          <w:rFonts w:cstheme="minorHAnsi"/>
          <w:noProof/>
          <w:color w:val="000000" w:themeColor="text1"/>
          <w:szCs w:val="18"/>
          <w:lang w:val="en-GB" w:eastAsia="en-GB"/>
        </w:rPr>
        <w:drawing>
          <wp:anchor distT="0" distB="0" distL="114300" distR="114300" simplePos="0" relativeHeight="251658240" behindDoc="0" locked="0" layoutInCell="0" allowOverlap="0" wp14:anchorId="36F94BE6" wp14:editId="1B8701B3">
            <wp:simplePos x="0" y="0"/>
            <wp:positionH relativeFrom="margin">
              <wp:posOffset>393700</wp:posOffset>
            </wp:positionH>
            <wp:positionV relativeFrom="margin">
              <wp:posOffset>1945640</wp:posOffset>
            </wp:positionV>
            <wp:extent cx="3979545" cy="2336800"/>
            <wp:effectExtent l="0" t="0" r="1905" b="635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R Logo Stack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9545" cy="2336800"/>
                    </a:xfrm>
                    <a:prstGeom prst="rect">
                      <a:avLst/>
                    </a:prstGeom>
                  </pic:spPr>
                </pic:pic>
              </a:graphicData>
            </a:graphic>
            <wp14:sizeRelH relativeFrom="page">
              <wp14:pctWidth>0</wp14:pctWidth>
            </wp14:sizeRelH>
            <wp14:sizeRelV relativeFrom="page">
              <wp14:pctHeight>0</wp14:pctHeight>
            </wp14:sizeRelV>
          </wp:anchor>
        </w:drawing>
      </w:r>
    </w:p>
    <w:p w14:paraId="71F79D43" w14:textId="3023FAC8" w:rsidR="00EF7170" w:rsidRPr="00F259E4" w:rsidRDefault="00EF7170" w:rsidP="00EF7170">
      <w:pPr>
        <w:rPr>
          <w:rFonts w:cstheme="minorHAnsi"/>
          <w:color w:val="000000" w:themeColor="text1"/>
        </w:rPr>
      </w:pPr>
    </w:p>
    <w:p w14:paraId="435911BE" w14:textId="77777777" w:rsidR="00EF7170" w:rsidRPr="00F259E4" w:rsidRDefault="00EF7170" w:rsidP="00EF7170">
      <w:pPr>
        <w:rPr>
          <w:rFonts w:cstheme="minorHAnsi"/>
          <w:color w:val="000000" w:themeColor="text1"/>
        </w:rPr>
      </w:pPr>
    </w:p>
    <w:p w14:paraId="4B0A9059" w14:textId="77777777" w:rsidR="00EF7170" w:rsidRPr="00F259E4" w:rsidRDefault="00EF7170" w:rsidP="00EF7170">
      <w:pPr>
        <w:rPr>
          <w:rFonts w:cstheme="minorHAnsi"/>
          <w:color w:val="000000" w:themeColor="text1"/>
        </w:rPr>
      </w:pPr>
    </w:p>
    <w:p w14:paraId="6F507681" w14:textId="77777777" w:rsidR="00EF7170" w:rsidRPr="00F259E4" w:rsidRDefault="00EF7170" w:rsidP="00EF7170">
      <w:pPr>
        <w:rPr>
          <w:rFonts w:cstheme="minorHAnsi"/>
          <w:color w:val="000000" w:themeColor="text1"/>
        </w:rPr>
      </w:pPr>
    </w:p>
    <w:p w14:paraId="7CDF1A56" w14:textId="77777777" w:rsidR="00EF7170" w:rsidRPr="00F259E4" w:rsidRDefault="00EF7170" w:rsidP="00EF7170">
      <w:pPr>
        <w:rPr>
          <w:rFonts w:cstheme="minorHAnsi"/>
          <w:color w:val="000000" w:themeColor="text1"/>
        </w:rPr>
      </w:pPr>
    </w:p>
    <w:p w14:paraId="16024F9A" w14:textId="77777777" w:rsidR="00EF7170" w:rsidRPr="00F259E4" w:rsidRDefault="00EF7170" w:rsidP="00EF7170">
      <w:pPr>
        <w:rPr>
          <w:rFonts w:cstheme="minorHAnsi"/>
          <w:color w:val="000000" w:themeColor="text1"/>
        </w:rPr>
      </w:pPr>
    </w:p>
    <w:p w14:paraId="71B4923F" w14:textId="77777777" w:rsidR="00EF7170" w:rsidRPr="00F259E4" w:rsidRDefault="00EF7170" w:rsidP="00EF7170">
      <w:pPr>
        <w:pStyle w:val="Documenttitle"/>
        <w:rPr>
          <w:rFonts w:asciiTheme="minorHAnsi" w:hAnsiTheme="minorHAnsi" w:cstheme="minorHAnsi"/>
          <w:color w:val="000000" w:themeColor="text1"/>
        </w:rPr>
      </w:pPr>
    </w:p>
    <w:p w14:paraId="375B69C8" w14:textId="77777777" w:rsidR="00EF7170" w:rsidRPr="00F259E4" w:rsidRDefault="00EF7170" w:rsidP="00EF7170">
      <w:pPr>
        <w:pStyle w:val="Documentsubtitle"/>
        <w:pBdr>
          <w:bottom w:val="single" w:sz="8" w:space="15" w:color="595959"/>
        </w:pBdr>
        <w:rPr>
          <w:rFonts w:asciiTheme="minorHAnsi" w:hAnsiTheme="minorHAnsi" w:cstheme="minorHAnsi"/>
          <w:color w:val="000000" w:themeColor="text1"/>
        </w:rPr>
      </w:pPr>
    </w:p>
    <w:p w14:paraId="48F5F0E7" w14:textId="77777777" w:rsidR="00EF7170" w:rsidRPr="00F259E4" w:rsidRDefault="00EF7170" w:rsidP="00EF7170">
      <w:pPr>
        <w:pStyle w:val="Documentsubtitle"/>
        <w:pBdr>
          <w:bottom w:val="single" w:sz="8" w:space="15" w:color="595959"/>
        </w:pBdr>
        <w:jc w:val="right"/>
        <w:rPr>
          <w:rFonts w:asciiTheme="minorHAnsi" w:hAnsiTheme="minorHAnsi" w:cstheme="minorHAnsi"/>
          <w:color w:val="000000" w:themeColor="text1"/>
        </w:rPr>
      </w:pPr>
      <w:r w:rsidRPr="00F259E4">
        <w:rPr>
          <w:rFonts w:asciiTheme="minorHAnsi" w:hAnsiTheme="minorHAnsi" w:cstheme="minorHAnsi"/>
          <w:color w:val="000000" w:themeColor="text1"/>
        </w:rPr>
        <w:t>SUBMISSION</w:t>
      </w:r>
      <w:r w:rsidR="0023122A" w:rsidRPr="00F259E4">
        <w:rPr>
          <w:rFonts w:asciiTheme="minorHAnsi" w:hAnsiTheme="minorHAnsi" w:cstheme="minorHAnsi"/>
          <w:color w:val="000000" w:themeColor="text1"/>
        </w:rPr>
        <w:t xml:space="preserve"> FORM</w:t>
      </w:r>
      <w:r w:rsidRPr="00F259E4">
        <w:rPr>
          <w:rFonts w:asciiTheme="minorHAnsi" w:hAnsiTheme="minorHAnsi" w:cstheme="minorHAnsi"/>
          <w:color w:val="000000" w:themeColor="text1"/>
        </w:rPr>
        <w:t xml:space="preserve"> </w:t>
      </w:r>
    </w:p>
    <w:p w14:paraId="1E27A031" w14:textId="77777777" w:rsidR="00EF7170" w:rsidRPr="00F259E4" w:rsidRDefault="00EF7170" w:rsidP="00E31ED2">
      <w:pPr>
        <w:rPr>
          <w:rFonts w:cstheme="minorHAnsi"/>
          <w:b/>
          <w:sz w:val="28"/>
          <w:szCs w:val="28"/>
        </w:rPr>
      </w:pPr>
    </w:p>
    <w:p w14:paraId="71393C35" w14:textId="77777777" w:rsidR="00EF7170" w:rsidRPr="00F259E4" w:rsidRDefault="00EF7170" w:rsidP="00E31ED2">
      <w:pPr>
        <w:rPr>
          <w:rFonts w:cstheme="minorHAnsi"/>
          <w:b/>
          <w:sz w:val="28"/>
          <w:szCs w:val="28"/>
        </w:rPr>
      </w:pPr>
    </w:p>
    <w:p w14:paraId="3BC7B73D" w14:textId="77777777" w:rsidR="00EF7170" w:rsidRPr="00F259E4" w:rsidRDefault="00EF7170" w:rsidP="00E31ED2">
      <w:pPr>
        <w:rPr>
          <w:rFonts w:cstheme="minorHAnsi"/>
          <w:b/>
          <w:sz w:val="28"/>
          <w:szCs w:val="28"/>
        </w:rPr>
        <w:sectPr w:rsidR="00EF7170" w:rsidRPr="00F259E4" w:rsidSect="001468A3">
          <w:footerReference w:type="default" r:id="rId13"/>
          <w:pgSz w:w="11906" w:h="16838"/>
          <w:pgMar w:top="1440" w:right="1440" w:bottom="1440" w:left="1440" w:header="709" w:footer="709" w:gutter="0"/>
          <w:cols w:space="708"/>
          <w:docGrid w:linePitch="360"/>
        </w:sectPr>
      </w:pPr>
    </w:p>
    <w:p w14:paraId="77CD6DE8" w14:textId="77777777" w:rsidR="00E31ED2" w:rsidRPr="00F259E4" w:rsidRDefault="00E31ED2" w:rsidP="00162343">
      <w:pPr>
        <w:pStyle w:val="Heading2"/>
      </w:pPr>
      <w:r w:rsidRPr="00F259E4">
        <w:lastRenderedPageBreak/>
        <w:t>How to have your say</w:t>
      </w:r>
    </w:p>
    <w:p w14:paraId="1EFE59D0" w14:textId="77777777" w:rsidR="00715587" w:rsidRPr="00F259E4" w:rsidRDefault="0023122A" w:rsidP="00E31ED2">
      <w:pPr>
        <w:rPr>
          <w:rFonts w:cstheme="minorHAnsi"/>
        </w:rPr>
      </w:pPr>
      <w:r w:rsidRPr="00F259E4">
        <w:rPr>
          <w:rFonts w:cstheme="minorHAnsi"/>
        </w:rPr>
        <w:t xml:space="preserve">We are </w:t>
      </w:r>
      <w:r w:rsidR="00E31ED2" w:rsidRPr="00F259E4">
        <w:rPr>
          <w:rFonts w:cstheme="minorHAnsi"/>
        </w:rPr>
        <w:t xml:space="preserve">seeking submissions </w:t>
      </w:r>
      <w:r w:rsidR="00715587" w:rsidRPr="00F259E4">
        <w:rPr>
          <w:rFonts w:cstheme="minorHAnsi"/>
        </w:rPr>
        <w:t xml:space="preserve">from the </w:t>
      </w:r>
      <w:r w:rsidR="009435C2" w:rsidRPr="00F259E4">
        <w:rPr>
          <w:rFonts w:cstheme="minorHAnsi"/>
        </w:rPr>
        <w:t>public and industry</w:t>
      </w:r>
      <w:r w:rsidR="00715587" w:rsidRPr="00F259E4">
        <w:rPr>
          <w:rFonts w:cstheme="minorHAnsi"/>
        </w:rPr>
        <w:t xml:space="preserve"> </w:t>
      </w:r>
      <w:r w:rsidR="00E31ED2" w:rsidRPr="00F259E4">
        <w:rPr>
          <w:rFonts w:cstheme="minorHAnsi"/>
        </w:rPr>
        <w:t xml:space="preserve">on </w:t>
      </w:r>
      <w:r w:rsidRPr="00F259E4">
        <w:rPr>
          <w:rFonts w:cstheme="minorHAnsi"/>
        </w:rPr>
        <w:t xml:space="preserve">our </w:t>
      </w:r>
      <w:r w:rsidR="00E31ED2" w:rsidRPr="00F259E4">
        <w:rPr>
          <w:rFonts w:cstheme="minorHAnsi"/>
        </w:rPr>
        <w:t xml:space="preserve">first report </w:t>
      </w:r>
      <w:r w:rsidRPr="00F259E4">
        <w:rPr>
          <w:rFonts w:cstheme="minorHAnsi"/>
        </w:rPr>
        <w:t xml:space="preserve">into </w:t>
      </w:r>
      <w:r w:rsidR="00E31ED2" w:rsidRPr="00F259E4">
        <w:rPr>
          <w:rFonts w:cstheme="minorHAnsi"/>
        </w:rPr>
        <w:t>the state of the electricity sector.</w:t>
      </w:r>
      <w:r w:rsidR="00715587" w:rsidRPr="00F259E4">
        <w:rPr>
          <w:rFonts w:cstheme="minorHAnsi"/>
        </w:rPr>
        <w:t xml:space="preserve"> The report contains a series of questions,</w:t>
      </w:r>
      <w:r w:rsidR="00844DD0" w:rsidRPr="00F259E4">
        <w:rPr>
          <w:rFonts w:cstheme="minorHAnsi"/>
        </w:rPr>
        <w:t xml:space="preserve"> </w:t>
      </w:r>
      <w:r w:rsidR="00715587" w:rsidRPr="00F259E4">
        <w:rPr>
          <w:rFonts w:cstheme="minorHAnsi"/>
        </w:rPr>
        <w:t xml:space="preserve">which are listed </w:t>
      </w:r>
      <w:r w:rsidR="009435C2" w:rsidRPr="00F259E4">
        <w:rPr>
          <w:rFonts w:cstheme="minorHAnsi"/>
        </w:rPr>
        <w:t>in</w:t>
      </w:r>
      <w:r w:rsidR="00844DD0" w:rsidRPr="00F259E4">
        <w:rPr>
          <w:rFonts w:cstheme="minorHAnsi"/>
        </w:rPr>
        <w:t xml:space="preserve"> this form </w:t>
      </w:r>
      <w:r w:rsidR="00715587" w:rsidRPr="00F259E4">
        <w:rPr>
          <w:rFonts w:cstheme="minorHAnsi"/>
        </w:rPr>
        <w:t xml:space="preserve">in the order in which they appear. You are free to answer some or all of them. </w:t>
      </w:r>
    </w:p>
    <w:p w14:paraId="1EC85635" w14:textId="77777777" w:rsidR="005747D9" w:rsidRPr="00F259E4" w:rsidRDefault="00E31ED2" w:rsidP="00646496">
      <w:pPr>
        <w:rPr>
          <w:rFonts w:cstheme="minorHAnsi"/>
        </w:rPr>
      </w:pPr>
      <w:r w:rsidRPr="00F259E4">
        <w:rPr>
          <w:rFonts w:cstheme="minorHAnsi"/>
        </w:rPr>
        <w:t xml:space="preserve">Where possible, please include evidence </w:t>
      </w:r>
      <w:r w:rsidR="005747D9" w:rsidRPr="00F259E4">
        <w:rPr>
          <w:rFonts w:cstheme="minorHAnsi"/>
        </w:rPr>
        <w:t xml:space="preserve">(such as facts, figures or relevant examples) </w:t>
      </w:r>
      <w:r w:rsidRPr="00F259E4">
        <w:rPr>
          <w:rFonts w:cstheme="minorHAnsi"/>
        </w:rPr>
        <w:t>to support your views.</w:t>
      </w:r>
      <w:r w:rsidR="005747D9" w:rsidRPr="00F259E4">
        <w:rPr>
          <w:rFonts w:cstheme="minorHAnsi"/>
        </w:rPr>
        <w:t xml:space="preserve"> </w:t>
      </w:r>
      <w:r w:rsidR="009435C2" w:rsidRPr="00F259E4">
        <w:rPr>
          <w:rFonts w:cstheme="minorHAnsi"/>
        </w:rPr>
        <w:t>P</w:t>
      </w:r>
      <w:r w:rsidR="005747D9" w:rsidRPr="00F259E4">
        <w:rPr>
          <w:rFonts w:cstheme="minorHAnsi"/>
        </w:rPr>
        <w:t>lease be sure to focus</w:t>
      </w:r>
      <w:r w:rsidR="005B4D4A" w:rsidRPr="00F259E4">
        <w:rPr>
          <w:rFonts w:cstheme="minorHAnsi"/>
        </w:rPr>
        <w:t xml:space="preserve"> on the question asked and keep each </w:t>
      </w:r>
      <w:r w:rsidR="009435C2" w:rsidRPr="00F259E4">
        <w:rPr>
          <w:rFonts w:cstheme="minorHAnsi"/>
        </w:rPr>
        <w:t>answer</w:t>
      </w:r>
      <w:r w:rsidR="005747D9" w:rsidRPr="00F259E4">
        <w:rPr>
          <w:rFonts w:cstheme="minorHAnsi"/>
        </w:rPr>
        <w:t xml:space="preserve"> short. </w:t>
      </w:r>
      <w:r w:rsidR="005B4D4A" w:rsidRPr="00F259E4">
        <w:rPr>
          <w:rFonts w:cstheme="minorHAnsi"/>
        </w:rPr>
        <w:t xml:space="preserve">There are also </w:t>
      </w:r>
      <w:r w:rsidR="009353EC" w:rsidRPr="00F259E4">
        <w:rPr>
          <w:rFonts w:cstheme="minorHAnsi"/>
        </w:rPr>
        <w:t xml:space="preserve">boxes </w:t>
      </w:r>
      <w:r w:rsidR="005B4D4A" w:rsidRPr="00F259E4">
        <w:rPr>
          <w:rFonts w:cstheme="minorHAnsi"/>
        </w:rPr>
        <w:t xml:space="preserve">for you </w:t>
      </w:r>
      <w:r w:rsidR="00646496" w:rsidRPr="00F259E4">
        <w:rPr>
          <w:rFonts w:cstheme="minorHAnsi"/>
        </w:rPr>
        <w:t>to summarise your key points</w:t>
      </w:r>
      <w:r w:rsidR="007A4499" w:rsidRPr="00F259E4">
        <w:rPr>
          <w:rFonts w:cstheme="minorHAnsi"/>
        </w:rPr>
        <w:t xml:space="preserve"> </w:t>
      </w:r>
      <w:r w:rsidR="00674C62" w:rsidRPr="00F259E4">
        <w:rPr>
          <w:rFonts w:cstheme="minorHAnsi"/>
        </w:rPr>
        <w:t>on P</w:t>
      </w:r>
      <w:r w:rsidR="00EC1683" w:rsidRPr="00F259E4">
        <w:rPr>
          <w:rFonts w:cstheme="minorHAnsi"/>
        </w:rPr>
        <w:t>arts three, four and f</w:t>
      </w:r>
      <w:r w:rsidR="009353EC" w:rsidRPr="00F259E4">
        <w:rPr>
          <w:rFonts w:cstheme="minorHAnsi"/>
        </w:rPr>
        <w:t>ive of the report</w:t>
      </w:r>
      <w:r w:rsidR="0095729B" w:rsidRPr="00F259E4">
        <w:rPr>
          <w:rFonts w:cstheme="minorHAnsi"/>
        </w:rPr>
        <w:t xml:space="preserve"> – we will use these when publishing a summary of responses. There are also </w:t>
      </w:r>
      <w:r w:rsidR="005B4D4A" w:rsidRPr="00F259E4">
        <w:rPr>
          <w:rFonts w:cstheme="minorHAnsi"/>
        </w:rPr>
        <w:t xml:space="preserve">boxes to briefly set out potential </w:t>
      </w:r>
      <w:r w:rsidR="007A4499" w:rsidRPr="00F259E4">
        <w:rPr>
          <w:rFonts w:cstheme="minorHAnsi"/>
        </w:rPr>
        <w:t>solutions</w:t>
      </w:r>
      <w:r w:rsidR="005B4D4A" w:rsidRPr="00F259E4">
        <w:rPr>
          <w:rFonts w:cstheme="minorHAnsi"/>
        </w:rPr>
        <w:t xml:space="preserve"> to issues and concerns raised in the report</w:t>
      </w:r>
      <w:r w:rsidR="0095729B" w:rsidRPr="00F259E4">
        <w:rPr>
          <w:rFonts w:cstheme="minorHAnsi"/>
        </w:rPr>
        <w:t>, and one box at the end for you to include additional information not covered by the other questions</w:t>
      </w:r>
      <w:r w:rsidR="00646496" w:rsidRPr="00F259E4">
        <w:rPr>
          <w:rFonts w:cstheme="minorHAnsi"/>
        </w:rPr>
        <w:t xml:space="preserve">. </w:t>
      </w:r>
    </w:p>
    <w:p w14:paraId="069FFA56" w14:textId="77777777" w:rsidR="00F77998" w:rsidRPr="00F259E4" w:rsidRDefault="005747D9" w:rsidP="00E31ED2">
      <w:pPr>
        <w:rPr>
          <w:rFonts w:cstheme="minorHAnsi"/>
        </w:rPr>
      </w:pPr>
      <w:r w:rsidRPr="00F259E4">
        <w:rPr>
          <w:rFonts w:cstheme="minorHAnsi"/>
        </w:rPr>
        <w:t xml:space="preserve">We would prefer </w:t>
      </w:r>
      <w:r w:rsidR="0026554E" w:rsidRPr="00F259E4">
        <w:rPr>
          <w:rFonts w:cstheme="minorHAnsi"/>
        </w:rPr>
        <w:t xml:space="preserve">if </w:t>
      </w:r>
      <w:r w:rsidRPr="00F259E4">
        <w:rPr>
          <w:rFonts w:cstheme="minorHAnsi"/>
        </w:rPr>
        <w:t>you</w:t>
      </w:r>
      <w:r w:rsidR="00F77998" w:rsidRPr="00F259E4">
        <w:rPr>
          <w:rFonts w:cstheme="minorHAnsi"/>
        </w:rPr>
        <w:t xml:space="preserve"> completed this form electronically</w:t>
      </w:r>
      <w:r w:rsidR="00B3224E" w:rsidRPr="00F259E4">
        <w:rPr>
          <w:rFonts w:cstheme="minorHAnsi"/>
        </w:rPr>
        <w:t>. (The answer boxes will expand as you write.) Y</w:t>
      </w:r>
      <w:r w:rsidR="007A4499" w:rsidRPr="00F259E4">
        <w:rPr>
          <w:rFonts w:cstheme="minorHAnsi"/>
        </w:rPr>
        <w:t>ou can</w:t>
      </w:r>
      <w:r w:rsidR="00B3224E" w:rsidRPr="00F259E4">
        <w:rPr>
          <w:rFonts w:cstheme="minorHAnsi"/>
        </w:rPr>
        <w:t xml:space="preserve"> </w:t>
      </w:r>
      <w:r w:rsidR="00F77998" w:rsidRPr="00F259E4">
        <w:rPr>
          <w:rFonts w:cstheme="minorHAnsi"/>
        </w:rPr>
        <w:t xml:space="preserve">print </w:t>
      </w:r>
      <w:r w:rsidR="00B3224E" w:rsidRPr="00F259E4">
        <w:rPr>
          <w:rFonts w:cstheme="minorHAnsi"/>
        </w:rPr>
        <w:t xml:space="preserve">the form </w:t>
      </w:r>
      <w:r w:rsidR="00F77998" w:rsidRPr="00F259E4">
        <w:rPr>
          <w:rFonts w:cstheme="minorHAnsi"/>
        </w:rPr>
        <w:t>and write your responses</w:t>
      </w:r>
      <w:r w:rsidR="00B3224E" w:rsidRPr="00F259E4">
        <w:rPr>
          <w:rFonts w:cstheme="minorHAnsi"/>
        </w:rPr>
        <w:t>.</w:t>
      </w:r>
      <w:r w:rsidR="00F77998" w:rsidRPr="00F259E4">
        <w:rPr>
          <w:rFonts w:cstheme="minorHAnsi"/>
        </w:rPr>
        <w:t xml:space="preserve"> (</w:t>
      </w:r>
      <w:r w:rsidR="00B3224E" w:rsidRPr="00F259E4">
        <w:rPr>
          <w:rFonts w:cstheme="minorHAnsi"/>
        </w:rPr>
        <w:t>I</w:t>
      </w:r>
      <w:r w:rsidR="00F77998" w:rsidRPr="00F259E4">
        <w:rPr>
          <w:rFonts w:cstheme="minorHAnsi"/>
        </w:rPr>
        <w:t xml:space="preserve">n </w:t>
      </w:r>
      <w:r w:rsidR="00B3224E" w:rsidRPr="00F259E4">
        <w:rPr>
          <w:rFonts w:cstheme="minorHAnsi"/>
        </w:rPr>
        <w:t>that case, expand the boxes before printing</w:t>
      </w:r>
      <w:r w:rsidR="00F77998" w:rsidRPr="00F259E4">
        <w:rPr>
          <w:rFonts w:cstheme="minorHAnsi"/>
        </w:rPr>
        <w:t>.</w:t>
      </w:r>
      <w:r w:rsidR="00B3224E" w:rsidRPr="00F259E4">
        <w:rPr>
          <w:rFonts w:cstheme="minorHAnsi"/>
        </w:rPr>
        <w:t xml:space="preserve"> If you still run out of room, continue your re</w:t>
      </w:r>
      <w:r w:rsidR="00132F05" w:rsidRPr="00F259E4">
        <w:rPr>
          <w:rFonts w:cstheme="minorHAnsi"/>
        </w:rPr>
        <w:t>s</w:t>
      </w:r>
      <w:r w:rsidR="00B3224E" w:rsidRPr="00F259E4">
        <w:rPr>
          <w:rFonts w:cstheme="minorHAnsi"/>
        </w:rPr>
        <w:t>ponses on an attached piece of paper, but be sure to label it so we know which question it relates to.)</w:t>
      </w:r>
      <w:r w:rsidR="00F77998" w:rsidRPr="00F259E4">
        <w:rPr>
          <w:rFonts w:cstheme="minorHAnsi"/>
        </w:rPr>
        <w:t xml:space="preserve"> </w:t>
      </w:r>
    </w:p>
    <w:p w14:paraId="425368DE" w14:textId="77777777" w:rsidR="00674C62" w:rsidRPr="00F259E4" w:rsidRDefault="00D866D8" w:rsidP="00646496">
      <w:pPr>
        <w:rPr>
          <w:rFonts w:cstheme="minorHAnsi"/>
        </w:rPr>
      </w:pPr>
      <w:r w:rsidRPr="00F259E4">
        <w:rPr>
          <w:rFonts w:cstheme="minorHAnsi"/>
        </w:rPr>
        <w:t xml:space="preserve">We may contact you if we need to clarify any aspect of your submission. </w:t>
      </w:r>
    </w:p>
    <w:p w14:paraId="14EAEC43" w14:textId="77777777" w:rsidR="00E31ED2" w:rsidRPr="00F259E4" w:rsidRDefault="00D866D8" w:rsidP="00646496">
      <w:pPr>
        <w:rPr>
          <w:rFonts w:cstheme="minorHAnsi"/>
        </w:rPr>
      </w:pPr>
      <w:r w:rsidRPr="00F259E4">
        <w:rPr>
          <w:rFonts w:cstheme="minorHAnsi"/>
        </w:rPr>
        <w:t>E</w:t>
      </w:r>
      <w:r w:rsidR="00E31ED2" w:rsidRPr="00F259E4">
        <w:rPr>
          <w:rFonts w:cstheme="minorHAnsi"/>
        </w:rPr>
        <w:t>mail your submission</w:t>
      </w:r>
      <w:r w:rsidRPr="00F259E4">
        <w:rPr>
          <w:rFonts w:cstheme="minorHAnsi"/>
        </w:rPr>
        <w:t xml:space="preserve"> to energymarkets@mbie.govt.nz</w:t>
      </w:r>
      <w:r w:rsidR="00E31ED2" w:rsidRPr="00F259E4">
        <w:rPr>
          <w:rFonts w:cstheme="minorHAnsi"/>
        </w:rPr>
        <w:t xml:space="preserve"> or</w:t>
      </w:r>
      <w:r w:rsidR="00646496" w:rsidRPr="00F259E4">
        <w:rPr>
          <w:rFonts w:cstheme="minorHAnsi"/>
        </w:rPr>
        <w:t xml:space="preserve"> post </w:t>
      </w:r>
      <w:r w:rsidR="007A4499" w:rsidRPr="00F259E4">
        <w:rPr>
          <w:rFonts w:cstheme="minorHAnsi"/>
        </w:rPr>
        <w:t xml:space="preserve">it </w:t>
      </w:r>
      <w:r w:rsidR="00646496" w:rsidRPr="00F259E4">
        <w:rPr>
          <w:rFonts w:cstheme="minorHAnsi"/>
        </w:rPr>
        <w:t>to:</w:t>
      </w:r>
    </w:p>
    <w:p w14:paraId="7237E66B" w14:textId="4000B9F2" w:rsidR="00E31ED2" w:rsidRPr="00F259E4" w:rsidRDefault="00E31ED2" w:rsidP="00401EF6">
      <w:pPr>
        <w:spacing w:after="480" w:line="240" w:lineRule="auto"/>
        <w:rPr>
          <w:rFonts w:cstheme="minorHAnsi"/>
        </w:rPr>
      </w:pPr>
      <w:r w:rsidRPr="00F259E4">
        <w:rPr>
          <w:rFonts w:cstheme="minorHAnsi"/>
        </w:rPr>
        <w:t>Electricity Price Review</w:t>
      </w:r>
      <w:r w:rsidR="00162343">
        <w:rPr>
          <w:rFonts w:cstheme="minorHAnsi"/>
        </w:rPr>
        <w:br/>
      </w:r>
      <w:r w:rsidRPr="00F259E4">
        <w:rPr>
          <w:rFonts w:cstheme="minorHAnsi"/>
        </w:rPr>
        <w:t>Secretariat, Ministry of Business, Innovation and Employment</w:t>
      </w:r>
      <w:r w:rsidR="00162343">
        <w:rPr>
          <w:rFonts w:cstheme="minorHAnsi"/>
        </w:rPr>
        <w:br/>
      </w:r>
      <w:r w:rsidRPr="00F259E4">
        <w:rPr>
          <w:rFonts w:cstheme="minorHAnsi"/>
        </w:rPr>
        <w:t>15 Stout Street</w:t>
      </w:r>
      <w:r w:rsidR="00162343">
        <w:rPr>
          <w:rFonts w:cstheme="minorHAnsi"/>
        </w:rPr>
        <w:br/>
      </w:r>
      <w:r w:rsidRPr="00F259E4">
        <w:rPr>
          <w:rFonts w:cstheme="minorHAnsi"/>
        </w:rPr>
        <w:t>PO Box 1473</w:t>
      </w:r>
      <w:r w:rsidR="00162343">
        <w:rPr>
          <w:rFonts w:cstheme="minorHAnsi"/>
        </w:rPr>
        <w:br/>
      </w:r>
      <w:r w:rsidRPr="00F259E4">
        <w:rPr>
          <w:rFonts w:cstheme="minorHAnsi"/>
        </w:rPr>
        <w:t>Wellington 6140</w:t>
      </w:r>
    </w:p>
    <w:p w14:paraId="658F8B9B" w14:textId="77777777" w:rsidR="0023122A" w:rsidRPr="00F259E4" w:rsidRDefault="00646496" w:rsidP="00E31ED2">
      <w:pPr>
        <w:rPr>
          <w:rFonts w:cstheme="minorHAnsi"/>
          <w:b/>
        </w:rPr>
      </w:pPr>
      <w:r w:rsidRPr="00F259E4">
        <w:rPr>
          <w:rFonts w:cstheme="minorHAnsi"/>
          <w:b/>
        </w:rPr>
        <w:t>Contact details</w:t>
      </w:r>
    </w:p>
    <w:tbl>
      <w:tblPr>
        <w:tblStyle w:val="ColorfulList"/>
        <w:tblW w:w="8663" w:type="dxa"/>
        <w:tblCellSpacing w:w="28" w:type="dxa"/>
        <w:tblCellMar>
          <w:top w:w="113" w:type="dxa"/>
          <w:bottom w:w="113" w:type="dxa"/>
        </w:tblCellMar>
        <w:tblLook w:val="04A0" w:firstRow="1" w:lastRow="0" w:firstColumn="1" w:lastColumn="0" w:noHBand="0" w:noVBand="1"/>
      </w:tblPr>
      <w:tblGrid>
        <w:gridCol w:w="3541"/>
        <w:gridCol w:w="5122"/>
      </w:tblGrid>
      <w:tr w:rsidR="00E31ED2" w:rsidRPr="00F259E4" w14:paraId="4C9BEBBB" w14:textId="77777777" w:rsidTr="001468A3">
        <w:trPr>
          <w:cnfStyle w:val="100000000000" w:firstRow="1" w:lastRow="0" w:firstColumn="0" w:lastColumn="0" w:oddVBand="0" w:evenVBand="0" w:oddHBand="0" w:evenHBand="0" w:firstRowFirstColumn="0" w:firstRowLastColumn="0" w:lastRowFirstColumn="0" w:lastRowLastColumn="0"/>
          <w:cantSplit/>
          <w:trHeight w:val="488"/>
          <w:tblHeader/>
          <w:tblCellSpacing w:w="28" w:type="dxa"/>
        </w:trPr>
        <w:tc>
          <w:tcPr>
            <w:cnfStyle w:val="001000000000" w:firstRow="0" w:lastRow="0" w:firstColumn="1" w:lastColumn="0" w:oddVBand="0" w:evenVBand="0" w:oddHBand="0" w:evenHBand="0" w:firstRowFirstColumn="0" w:firstRowLastColumn="0" w:lastRowFirstColumn="0" w:lastRowLastColumn="0"/>
            <w:tcW w:w="3457" w:type="dxa"/>
            <w:shd w:val="clear" w:color="auto" w:fill="00A3DB"/>
            <w:vAlign w:val="center"/>
          </w:tcPr>
          <w:p w14:paraId="4EEBB983" w14:textId="77777777" w:rsidR="00E31ED2" w:rsidRPr="00F259E4" w:rsidRDefault="00E31ED2" w:rsidP="0023122A">
            <w:pPr>
              <w:tabs>
                <w:tab w:val="left" w:pos="0"/>
              </w:tabs>
              <w:spacing w:after="60"/>
              <w:jc w:val="both"/>
              <w:rPr>
                <w:rFonts w:asciiTheme="minorHAnsi" w:hAnsiTheme="minorHAnsi" w:cstheme="minorHAnsi"/>
                <w:b w:val="0"/>
                <w:bCs w:val="0"/>
                <w:color w:val="000000" w:themeColor="text1"/>
                <w:lang w:eastAsia="en-NZ"/>
              </w:rPr>
            </w:pPr>
            <w:r w:rsidRPr="00F259E4">
              <w:rPr>
                <w:rFonts w:asciiTheme="minorHAnsi" w:hAnsiTheme="minorHAnsi" w:cstheme="minorHAnsi"/>
                <w:color w:val="000000" w:themeColor="text1"/>
              </w:rPr>
              <w:t>Name</w:t>
            </w:r>
          </w:p>
        </w:tc>
        <w:tc>
          <w:tcPr>
            <w:tcW w:w="5038" w:type="dxa"/>
            <w:shd w:val="clear" w:color="auto" w:fill="84BF41"/>
            <w:vAlign w:val="center"/>
          </w:tcPr>
          <w:p w14:paraId="4438A843" w14:textId="2024A391" w:rsidR="00E31ED2" w:rsidRPr="00F259E4" w:rsidRDefault="00127A16" w:rsidP="0023122A">
            <w:pPr>
              <w:tabs>
                <w:tab w:val="left" w:pos="0"/>
              </w:tabs>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eastAsia="en-NZ"/>
              </w:rPr>
            </w:pPr>
            <w:r w:rsidRPr="00F259E4">
              <w:rPr>
                <w:rFonts w:asciiTheme="minorHAnsi" w:hAnsiTheme="minorHAnsi" w:cstheme="minorHAnsi"/>
                <w:color w:val="000000" w:themeColor="text1"/>
                <w:lang w:eastAsia="en-NZ"/>
              </w:rPr>
              <w:t>Graeme Peters</w:t>
            </w:r>
          </w:p>
        </w:tc>
      </w:tr>
      <w:tr w:rsidR="00E31ED2" w:rsidRPr="00F259E4" w14:paraId="63DCE748" w14:textId="77777777" w:rsidTr="001468A3">
        <w:trPr>
          <w:cnfStyle w:val="100000000000" w:firstRow="1" w:lastRow="0" w:firstColumn="0" w:lastColumn="0" w:oddVBand="0" w:evenVBand="0" w:oddHBand="0" w:evenHBand="0" w:firstRowFirstColumn="0" w:firstRowLastColumn="0" w:lastRowFirstColumn="0" w:lastRowLastColumn="0"/>
          <w:cantSplit/>
          <w:trHeight w:val="488"/>
          <w:tblHeader/>
          <w:tblCellSpacing w:w="28" w:type="dxa"/>
        </w:trPr>
        <w:tc>
          <w:tcPr>
            <w:cnfStyle w:val="001000000000" w:firstRow="0" w:lastRow="0" w:firstColumn="1" w:lastColumn="0" w:oddVBand="0" w:evenVBand="0" w:oddHBand="0" w:evenHBand="0" w:firstRowFirstColumn="0" w:firstRowLastColumn="0" w:lastRowFirstColumn="0" w:lastRowLastColumn="0"/>
            <w:tcW w:w="3457" w:type="dxa"/>
            <w:shd w:val="clear" w:color="auto" w:fill="00A3DB"/>
            <w:vAlign w:val="center"/>
          </w:tcPr>
          <w:p w14:paraId="14AF3329" w14:textId="77777777" w:rsidR="00E31ED2" w:rsidRPr="00F259E4" w:rsidRDefault="00E31ED2" w:rsidP="0023122A">
            <w:pPr>
              <w:tabs>
                <w:tab w:val="left" w:pos="0"/>
              </w:tabs>
              <w:spacing w:after="60"/>
              <w:jc w:val="both"/>
              <w:rPr>
                <w:rFonts w:asciiTheme="minorHAnsi" w:hAnsiTheme="minorHAnsi" w:cstheme="minorHAnsi"/>
                <w:color w:val="000000" w:themeColor="text1"/>
              </w:rPr>
            </w:pPr>
            <w:r w:rsidRPr="00F259E4">
              <w:rPr>
                <w:rFonts w:asciiTheme="minorHAnsi" w:hAnsiTheme="minorHAnsi" w:cstheme="minorHAnsi"/>
                <w:color w:val="000000" w:themeColor="text1"/>
              </w:rPr>
              <w:t>Organisation</w:t>
            </w:r>
          </w:p>
        </w:tc>
        <w:tc>
          <w:tcPr>
            <w:tcW w:w="5038" w:type="dxa"/>
            <w:shd w:val="clear" w:color="auto" w:fill="84BF41"/>
            <w:vAlign w:val="center"/>
          </w:tcPr>
          <w:p w14:paraId="204A77A6" w14:textId="5BCB67AC" w:rsidR="00E31ED2" w:rsidRPr="00F259E4" w:rsidRDefault="00127A16" w:rsidP="0023122A">
            <w:pPr>
              <w:tabs>
                <w:tab w:val="left" w:pos="0"/>
              </w:tabs>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259E4">
              <w:rPr>
                <w:rFonts w:asciiTheme="minorHAnsi" w:hAnsiTheme="minorHAnsi" w:cstheme="minorHAnsi"/>
                <w:color w:val="000000" w:themeColor="text1"/>
              </w:rPr>
              <w:t>Electricity Networks Association</w:t>
            </w:r>
          </w:p>
        </w:tc>
      </w:tr>
      <w:tr w:rsidR="00E31ED2" w:rsidRPr="00F259E4" w14:paraId="505BF7CF" w14:textId="77777777" w:rsidTr="001468A3">
        <w:trPr>
          <w:cnfStyle w:val="100000000000" w:firstRow="1" w:lastRow="0" w:firstColumn="0" w:lastColumn="0" w:oddVBand="0" w:evenVBand="0" w:oddHBand="0" w:evenHBand="0" w:firstRowFirstColumn="0" w:firstRowLastColumn="0" w:lastRowFirstColumn="0" w:lastRowLastColumn="0"/>
          <w:cantSplit/>
          <w:trHeight w:val="1771"/>
          <w:tblHeader/>
          <w:tblCellSpacing w:w="28" w:type="dxa"/>
        </w:trPr>
        <w:tc>
          <w:tcPr>
            <w:cnfStyle w:val="001000000000" w:firstRow="0" w:lastRow="0" w:firstColumn="1" w:lastColumn="0" w:oddVBand="0" w:evenVBand="0" w:oddHBand="0" w:evenHBand="0" w:firstRowFirstColumn="0" w:firstRowLastColumn="0" w:lastRowFirstColumn="0" w:lastRowLastColumn="0"/>
            <w:tcW w:w="3457" w:type="dxa"/>
            <w:shd w:val="clear" w:color="auto" w:fill="00A3DB"/>
            <w:vAlign w:val="center"/>
          </w:tcPr>
          <w:p w14:paraId="2CA1960A" w14:textId="77777777" w:rsidR="00E31ED2" w:rsidRPr="00F259E4" w:rsidRDefault="00E31ED2" w:rsidP="0023122A">
            <w:pPr>
              <w:tabs>
                <w:tab w:val="left" w:pos="0"/>
              </w:tabs>
              <w:spacing w:after="60"/>
              <w:jc w:val="both"/>
              <w:rPr>
                <w:rFonts w:asciiTheme="minorHAnsi" w:hAnsiTheme="minorHAnsi" w:cstheme="minorHAnsi"/>
                <w:color w:val="000000" w:themeColor="text1"/>
              </w:rPr>
            </w:pPr>
            <w:r w:rsidRPr="00F259E4">
              <w:rPr>
                <w:rFonts w:asciiTheme="minorHAnsi" w:hAnsiTheme="minorHAnsi" w:cstheme="minorHAnsi"/>
                <w:color w:val="000000" w:themeColor="text1"/>
              </w:rPr>
              <w:t>Email address or physical address</w:t>
            </w:r>
          </w:p>
        </w:tc>
        <w:tc>
          <w:tcPr>
            <w:tcW w:w="5038" w:type="dxa"/>
            <w:shd w:val="clear" w:color="auto" w:fill="84BF41"/>
            <w:vAlign w:val="center"/>
          </w:tcPr>
          <w:p w14:paraId="29B52161" w14:textId="77777777" w:rsidR="00417BED" w:rsidRPr="00F259E4" w:rsidRDefault="00417BED" w:rsidP="00417BED">
            <w:pPr>
              <w:tabs>
                <w:tab w:val="left" w:pos="0"/>
              </w:tabs>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259E4">
              <w:rPr>
                <w:rFonts w:asciiTheme="minorHAnsi" w:hAnsiTheme="minorHAnsi" w:cstheme="minorHAnsi"/>
                <w:color w:val="000000" w:themeColor="text1"/>
              </w:rPr>
              <w:t>Level 5</w:t>
            </w:r>
          </w:p>
          <w:p w14:paraId="24CE53F1" w14:textId="77777777" w:rsidR="00417BED" w:rsidRPr="00F259E4" w:rsidRDefault="00417BED" w:rsidP="00417BED">
            <w:pPr>
              <w:tabs>
                <w:tab w:val="left" w:pos="0"/>
              </w:tabs>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259E4">
              <w:rPr>
                <w:rFonts w:asciiTheme="minorHAnsi" w:hAnsiTheme="minorHAnsi" w:cstheme="minorHAnsi"/>
                <w:color w:val="000000" w:themeColor="text1"/>
              </w:rPr>
              <w:t>Legal House</w:t>
            </w:r>
          </w:p>
          <w:p w14:paraId="1A7705E4" w14:textId="77777777" w:rsidR="00417BED" w:rsidRPr="00F259E4" w:rsidRDefault="00417BED" w:rsidP="00417BED">
            <w:pPr>
              <w:tabs>
                <w:tab w:val="left" w:pos="0"/>
              </w:tabs>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259E4">
              <w:rPr>
                <w:rFonts w:asciiTheme="minorHAnsi" w:hAnsiTheme="minorHAnsi" w:cstheme="minorHAnsi"/>
                <w:color w:val="000000" w:themeColor="text1"/>
              </w:rPr>
              <w:t>101 Lambton Quay</w:t>
            </w:r>
          </w:p>
          <w:p w14:paraId="4E05D227" w14:textId="4C98CD81" w:rsidR="00127A16" w:rsidRPr="00F259E4" w:rsidRDefault="00417BED" w:rsidP="00417BED">
            <w:pPr>
              <w:tabs>
                <w:tab w:val="left" w:pos="0"/>
              </w:tabs>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259E4">
              <w:rPr>
                <w:rFonts w:asciiTheme="minorHAnsi" w:hAnsiTheme="minorHAnsi" w:cstheme="minorHAnsi"/>
                <w:color w:val="000000" w:themeColor="text1"/>
              </w:rPr>
              <w:t>Wellington 6011</w:t>
            </w:r>
          </w:p>
        </w:tc>
      </w:tr>
    </w:tbl>
    <w:p w14:paraId="733EB1A3" w14:textId="77777777" w:rsidR="00E31ED2" w:rsidRPr="00F259E4" w:rsidRDefault="00E31ED2" w:rsidP="00E31ED2">
      <w:pPr>
        <w:rPr>
          <w:rFonts w:cstheme="minorHAnsi"/>
          <w:b/>
          <w:sz w:val="28"/>
        </w:rPr>
      </w:pPr>
    </w:p>
    <w:p w14:paraId="4731BA91" w14:textId="77777777" w:rsidR="005B4D4A" w:rsidRPr="00F259E4" w:rsidRDefault="005B4D4A" w:rsidP="00E31ED2">
      <w:pPr>
        <w:rPr>
          <w:rFonts w:cstheme="minorHAnsi"/>
          <w:b/>
          <w:sz w:val="28"/>
        </w:rPr>
      </w:pPr>
    </w:p>
    <w:p w14:paraId="4FA06A4F" w14:textId="77777777" w:rsidR="00162343" w:rsidRDefault="00162343" w:rsidP="00E31ED2">
      <w:pPr>
        <w:rPr>
          <w:rFonts w:cstheme="minorHAnsi"/>
          <w:b/>
          <w:sz w:val="28"/>
        </w:rPr>
      </w:pPr>
    </w:p>
    <w:p w14:paraId="59CF2C5C" w14:textId="0523F5FC" w:rsidR="00E31ED2" w:rsidRPr="00F259E4" w:rsidRDefault="00E31ED2" w:rsidP="00CF11A3">
      <w:pPr>
        <w:pStyle w:val="Heading2"/>
      </w:pPr>
      <w:r w:rsidRPr="00F259E4">
        <w:lastRenderedPageBreak/>
        <w:t>Use of i</w:t>
      </w:r>
      <w:r w:rsidRPr="00125E5B">
        <w:t>nforma</w:t>
      </w:r>
      <w:r w:rsidRPr="00F259E4">
        <w:t xml:space="preserve">tion </w:t>
      </w:r>
    </w:p>
    <w:p w14:paraId="7BE59D89" w14:textId="77777777" w:rsidR="00D866D8" w:rsidRPr="00F259E4" w:rsidRDefault="00D866D8" w:rsidP="00D866D8">
      <w:pPr>
        <w:rPr>
          <w:rFonts w:cstheme="minorHAnsi"/>
        </w:rPr>
      </w:pPr>
      <w:r w:rsidRPr="00F259E4">
        <w:rPr>
          <w:rFonts w:cstheme="minorHAnsi"/>
        </w:rPr>
        <w:t>We will use you</w:t>
      </w:r>
      <w:r w:rsidR="00833F14" w:rsidRPr="00F259E4">
        <w:rPr>
          <w:rFonts w:cstheme="minorHAnsi"/>
        </w:rPr>
        <w:t>r feedback to help us prepare a</w:t>
      </w:r>
      <w:r w:rsidRPr="00F259E4">
        <w:rPr>
          <w:rFonts w:cstheme="minorHAnsi"/>
        </w:rPr>
        <w:t xml:space="preserve"> </w:t>
      </w:r>
      <w:r w:rsidR="00E31ED2" w:rsidRPr="00F259E4">
        <w:rPr>
          <w:rFonts w:cstheme="minorHAnsi"/>
        </w:rPr>
        <w:t xml:space="preserve">report to the </w:t>
      </w:r>
      <w:r w:rsidRPr="00F259E4">
        <w:rPr>
          <w:rFonts w:cstheme="minorHAnsi"/>
        </w:rPr>
        <w:t>G</w:t>
      </w:r>
      <w:r w:rsidR="00E31ED2" w:rsidRPr="00F259E4">
        <w:rPr>
          <w:rFonts w:cstheme="minorHAnsi"/>
        </w:rPr>
        <w:t xml:space="preserve">overnment. This </w:t>
      </w:r>
      <w:r w:rsidRPr="00F259E4">
        <w:rPr>
          <w:rFonts w:cstheme="minorHAnsi"/>
        </w:rPr>
        <w:t xml:space="preserve">second report will recommend </w:t>
      </w:r>
      <w:r w:rsidR="00E31ED2" w:rsidRPr="00F259E4">
        <w:rPr>
          <w:rFonts w:cstheme="minorHAnsi"/>
        </w:rPr>
        <w:t>improvements to the structure and conduct of the sector</w:t>
      </w:r>
      <w:r w:rsidRPr="00F259E4">
        <w:rPr>
          <w:rFonts w:cstheme="minorHAnsi"/>
        </w:rPr>
        <w:t xml:space="preserve">, including to the </w:t>
      </w:r>
      <w:r w:rsidR="00E31ED2" w:rsidRPr="00F259E4">
        <w:rPr>
          <w:rFonts w:cstheme="minorHAnsi"/>
        </w:rPr>
        <w:t>regulatory framework.</w:t>
      </w:r>
      <w:r w:rsidRPr="00F259E4">
        <w:rPr>
          <w:rFonts w:cstheme="minorHAnsi"/>
        </w:rPr>
        <w:t xml:space="preserve"> </w:t>
      </w:r>
    </w:p>
    <w:p w14:paraId="32D981FD" w14:textId="77777777" w:rsidR="00E31ED2" w:rsidRPr="00F259E4" w:rsidRDefault="00D866D8" w:rsidP="00D866D8">
      <w:pPr>
        <w:rPr>
          <w:rFonts w:cstheme="minorHAnsi"/>
        </w:rPr>
      </w:pPr>
      <w:r w:rsidRPr="00F259E4">
        <w:rPr>
          <w:rFonts w:cstheme="minorHAnsi"/>
        </w:rPr>
        <w:t>We will publish all submissions in PDF form on the website of the Ministry of Business, Innovation and Employment</w:t>
      </w:r>
      <w:r w:rsidR="002F1E46" w:rsidRPr="00F259E4">
        <w:rPr>
          <w:rFonts w:cstheme="minorHAnsi"/>
        </w:rPr>
        <w:t xml:space="preserve"> (MBIE)</w:t>
      </w:r>
      <w:r w:rsidRPr="00F259E4">
        <w:rPr>
          <w:rFonts w:cstheme="minorHAnsi"/>
        </w:rPr>
        <w:t xml:space="preserve">, except any material you identify as confidential or that we consider may be </w:t>
      </w:r>
      <w:r w:rsidR="00E31ED2" w:rsidRPr="00F259E4">
        <w:rPr>
          <w:rFonts w:cstheme="minorHAnsi"/>
        </w:rPr>
        <w:t>defamatory</w:t>
      </w:r>
      <w:r w:rsidRPr="00F259E4">
        <w:rPr>
          <w:rFonts w:cstheme="minorHAnsi"/>
        </w:rPr>
        <w:t xml:space="preserve">. </w:t>
      </w:r>
      <w:r w:rsidR="00E31ED2" w:rsidRPr="00F259E4">
        <w:rPr>
          <w:rFonts w:cstheme="minorHAnsi"/>
        </w:rPr>
        <w:t xml:space="preserve">By making a submission, </w:t>
      </w:r>
      <w:r w:rsidRPr="00F259E4">
        <w:rPr>
          <w:rFonts w:cstheme="minorHAnsi"/>
        </w:rPr>
        <w:t xml:space="preserve">we consider you have agreed </w:t>
      </w:r>
      <w:r w:rsidR="00E31ED2" w:rsidRPr="00F259E4">
        <w:rPr>
          <w:rFonts w:cstheme="minorHAnsi"/>
        </w:rPr>
        <w:t xml:space="preserve">to </w:t>
      </w:r>
      <w:r w:rsidRPr="00F259E4">
        <w:rPr>
          <w:rFonts w:cstheme="minorHAnsi"/>
        </w:rPr>
        <w:t xml:space="preserve">publication of </w:t>
      </w:r>
      <w:r w:rsidR="00833F14" w:rsidRPr="00F259E4">
        <w:rPr>
          <w:rFonts w:cstheme="minorHAnsi"/>
        </w:rPr>
        <w:t>your submission</w:t>
      </w:r>
      <w:r w:rsidR="00E31ED2" w:rsidRPr="00F259E4">
        <w:rPr>
          <w:rFonts w:cstheme="minorHAnsi"/>
        </w:rPr>
        <w:t xml:space="preserve"> unless you clearly specify otherwise.</w:t>
      </w:r>
    </w:p>
    <w:p w14:paraId="5D5C8C11" w14:textId="1ED10D79" w:rsidR="00E31ED2" w:rsidRPr="00F259E4" w:rsidRDefault="00E31ED2" w:rsidP="00AF2226">
      <w:pPr>
        <w:pStyle w:val="Heading2"/>
      </w:pPr>
      <w:r w:rsidRPr="00F259E4">
        <w:t xml:space="preserve">Release of information </w:t>
      </w:r>
    </w:p>
    <w:p w14:paraId="42765B1E" w14:textId="77777777" w:rsidR="00E31ED2" w:rsidRPr="00F259E4" w:rsidRDefault="00E31ED2" w:rsidP="00E31ED2">
      <w:pPr>
        <w:rPr>
          <w:rFonts w:cstheme="minorHAnsi"/>
        </w:rPr>
      </w:pPr>
      <w:r w:rsidRPr="00F259E4">
        <w:rPr>
          <w:rFonts w:cstheme="minorHAnsi"/>
        </w:rPr>
        <w:t xml:space="preserve">Please indicate on the front of your submission </w:t>
      </w:r>
      <w:r w:rsidR="00D866D8" w:rsidRPr="00F259E4">
        <w:rPr>
          <w:rFonts w:cstheme="minorHAnsi"/>
        </w:rPr>
        <w:t xml:space="preserve">whether </w:t>
      </w:r>
      <w:r w:rsidRPr="00F259E4">
        <w:rPr>
          <w:rFonts w:cstheme="minorHAnsi"/>
        </w:rPr>
        <w:t>it contains confidential information and mark the text accordingly. If you</w:t>
      </w:r>
      <w:r w:rsidR="00D866D8" w:rsidRPr="00F259E4">
        <w:rPr>
          <w:rFonts w:cstheme="minorHAnsi"/>
        </w:rPr>
        <w:t>r</w:t>
      </w:r>
      <w:r w:rsidRPr="00F259E4">
        <w:rPr>
          <w:rFonts w:cstheme="minorHAnsi"/>
        </w:rPr>
        <w:t xml:space="preserve"> submission includes confidential information, please send us a separate public version of the submission.</w:t>
      </w:r>
    </w:p>
    <w:p w14:paraId="519259CD" w14:textId="7191B5F6" w:rsidR="00E31ED2" w:rsidRPr="00F259E4" w:rsidRDefault="00E31ED2" w:rsidP="00E31ED2">
      <w:pPr>
        <w:rPr>
          <w:rFonts w:cstheme="minorHAnsi"/>
        </w:rPr>
      </w:pPr>
      <w:r w:rsidRPr="00F259E4">
        <w:rPr>
          <w:rFonts w:cstheme="minorHAnsi"/>
        </w:rPr>
        <w:t>Please be aware that all information in submissions is subject to the Official Information Act 1982.</w:t>
      </w:r>
      <w:r w:rsidR="00012BB4">
        <w:rPr>
          <w:rFonts w:cstheme="minorHAnsi"/>
        </w:rPr>
        <w:br/>
      </w:r>
      <w:r w:rsidRPr="00F259E4">
        <w:rPr>
          <w:rFonts w:cstheme="minorHAnsi"/>
        </w:rPr>
        <w:t>If we receive an official information request to release confidential parts of a submission, we will contact the submitter when responding to the request.</w:t>
      </w:r>
    </w:p>
    <w:p w14:paraId="768BE762" w14:textId="77777777" w:rsidR="00E31ED2" w:rsidRPr="00F259E4" w:rsidRDefault="00E31ED2" w:rsidP="00AF2226">
      <w:pPr>
        <w:pStyle w:val="Heading2"/>
      </w:pPr>
      <w:r w:rsidRPr="00F259E4">
        <w:t xml:space="preserve">Private information </w:t>
      </w:r>
    </w:p>
    <w:p w14:paraId="7038999A" w14:textId="77777777" w:rsidR="00E31ED2" w:rsidRPr="00F259E4" w:rsidRDefault="00E31ED2" w:rsidP="00E31ED2">
      <w:pPr>
        <w:rPr>
          <w:rFonts w:cstheme="minorHAnsi"/>
        </w:rPr>
      </w:pPr>
      <w:r w:rsidRPr="00F259E4">
        <w:rPr>
          <w:rFonts w:cstheme="minorHAnsi"/>
        </w:rPr>
        <w:t xml:space="preserve">The Privacy Act 1993 establishes certain principles </w:t>
      </w:r>
      <w:r w:rsidR="002F1E46" w:rsidRPr="00F259E4">
        <w:rPr>
          <w:rFonts w:cstheme="minorHAnsi"/>
        </w:rPr>
        <w:t xml:space="preserve">regarding </w:t>
      </w:r>
      <w:r w:rsidRPr="00F259E4">
        <w:rPr>
          <w:rFonts w:cstheme="minorHAnsi"/>
        </w:rPr>
        <w:t xml:space="preserve">the collection, use and disclosure of information about individuals by various agencies, including MBIE. Any personal information </w:t>
      </w:r>
      <w:r w:rsidR="002F1E46" w:rsidRPr="00F259E4">
        <w:rPr>
          <w:rFonts w:cstheme="minorHAnsi"/>
        </w:rPr>
        <w:t>in</w:t>
      </w:r>
      <w:r w:rsidRPr="00F259E4">
        <w:rPr>
          <w:rFonts w:cstheme="minorHAnsi"/>
        </w:rPr>
        <w:t xml:space="preserve"> your submission will be used </w:t>
      </w:r>
      <w:r w:rsidR="002F1E46" w:rsidRPr="00F259E4">
        <w:rPr>
          <w:rFonts w:cstheme="minorHAnsi"/>
        </w:rPr>
        <w:t xml:space="preserve">solely </w:t>
      </w:r>
      <w:r w:rsidRPr="00F259E4">
        <w:rPr>
          <w:rFonts w:cstheme="minorHAnsi"/>
        </w:rPr>
        <w:t xml:space="preserve">to help develop policy advice </w:t>
      </w:r>
      <w:r w:rsidR="002F1E46" w:rsidRPr="00F259E4">
        <w:rPr>
          <w:rFonts w:cstheme="minorHAnsi"/>
        </w:rPr>
        <w:t>for</w:t>
      </w:r>
      <w:r w:rsidRPr="00F259E4">
        <w:rPr>
          <w:rFonts w:cstheme="minorHAnsi"/>
        </w:rPr>
        <w:t xml:space="preserve"> this review. Please clearly indicate in your submission </w:t>
      </w:r>
      <w:r w:rsidR="002F1E46" w:rsidRPr="00F259E4">
        <w:rPr>
          <w:rFonts w:cstheme="minorHAnsi"/>
        </w:rPr>
        <w:t>whether</w:t>
      </w:r>
      <w:r w:rsidRPr="00F259E4">
        <w:rPr>
          <w:rFonts w:cstheme="minorHAnsi"/>
        </w:rPr>
        <w:t xml:space="preserve"> you </w:t>
      </w:r>
      <w:r w:rsidR="002F1E46" w:rsidRPr="00F259E4">
        <w:rPr>
          <w:rFonts w:cstheme="minorHAnsi"/>
        </w:rPr>
        <w:t xml:space="preserve">want </w:t>
      </w:r>
      <w:r w:rsidRPr="00F259E4">
        <w:rPr>
          <w:rFonts w:cstheme="minorHAnsi"/>
        </w:rPr>
        <w:t xml:space="preserve">your name to be </w:t>
      </w:r>
      <w:r w:rsidR="002F1E46" w:rsidRPr="00F259E4">
        <w:rPr>
          <w:rFonts w:cstheme="minorHAnsi"/>
        </w:rPr>
        <w:t>ex</w:t>
      </w:r>
      <w:r w:rsidRPr="00F259E4">
        <w:rPr>
          <w:rFonts w:cstheme="minorHAnsi"/>
        </w:rPr>
        <w:t xml:space="preserve">cluded </w:t>
      </w:r>
      <w:r w:rsidR="002F1E46" w:rsidRPr="00F259E4">
        <w:rPr>
          <w:rFonts w:cstheme="minorHAnsi"/>
        </w:rPr>
        <w:t>from</w:t>
      </w:r>
      <w:r w:rsidRPr="00F259E4">
        <w:rPr>
          <w:rFonts w:cstheme="minorHAnsi"/>
        </w:rPr>
        <w:t xml:space="preserve"> any summary of submissions we may publish. </w:t>
      </w:r>
    </w:p>
    <w:p w14:paraId="4669A4A7" w14:textId="77777777" w:rsidR="00E31ED2" w:rsidRPr="00F259E4" w:rsidRDefault="00E31ED2" w:rsidP="00AF2226">
      <w:pPr>
        <w:pStyle w:val="Heading2"/>
      </w:pPr>
      <w:r w:rsidRPr="00F259E4">
        <w:t xml:space="preserve">Permission to reproduce </w:t>
      </w:r>
    </w:p>
    <w:p w14:paraId="5DDE704F" w14:textId="77777777" w:rsidR="00E31ED2" w:rsidRPr="00F259E4" w:rsidRDefault="00E31ED2" w:rsidP="00E31ED2">
      <w:pPr>
        <w:rPr>
          <w:rFonts w:cstheme="minorHAnsi"/>
        </w:rPr>
      </w:pPr>
      <w:r w:rsidRPr="00F259E4">
        <w:rPr>
          <w:rFonts w:cstheme="minorHAnsi"/>
        </w:rPr>
        <w:t>The copyright owner authorises reproduction of this work, in whole or in part, as long as no charge is being made for the supply of copies, and the integrity and attribution of the work as a publication of MBIE is not interfered with in any wa</w:t>
      </w:r>
      <w:r w:rsidR="00EB4EF1" w:rsidRPr="00F259E4">
        <w:rPr>
          <w:rFonts w:cstheme="minorHAnsi"/>
        </w:rPr>
        <w:t>y</w:t>
      </w:r>
      <w:r w:rsidRPr="00F259E4">
        <w:rPr>
          <w:rFonts w:cstheme="minorHAnsi"/>
        </w:rPr>
        <w:t>.</w:t>
      </w:r>
    </w:p>
    <w:p w14:paraId="39877824" w14:textId="77777777" w:rsidR="00E31ED2" w:rsidRPr="00F259E4" w:rsidRDefault="00E31ED2" w:rsidP="00E31ED2">
      <w:pPr>
        <w:rPr>
          <w:rFonts w:cstheme="minorHAnsi"/>
          <w:b/>
          <w:sz w:val="28"/>
        </w:rPr>
        <w:sectPr w:rsidR="00E31ED2" w:rsidRPr="00F259E4" w:rsidSect="001468A3">
          <w:pgSz w:w="11906" w:h="16838"/>
          <w:pgMar w:top="1440" w:right="1440" w:bottom="1440" w:left="1440" w:header="709" w:footer="709" w:gutter="0"/>
          <w:cols w:space="708"/>
          <w:docGrid w:linePitch="360"/>
        </w:sectPr>
      </w:pPr>
    </w:p>
    <w:p w14:paraId="1D18D712" w14:textId="77777777" w:rsidR="00E31ED2" w:rsidRPr="00F259E4" w:rsidRDefault="00E31ED2" w:rsidP="00AF2226">
      <w:pPr>
        <w:pStyle w:val="Heading2"/>
      </w:pPr>
      <w:r w:rsidRPr="00F259E4">
        <w:lastRenderedPageBreak/>
        <w:t>Summary of questions</w:t>
      </w:r>
    </w:p>
    <w:p w14:paraId="5CFF86C8" w14:textId="77777777" w:rsidR="00E31ED2" w:rsidRPr="00F259E4" w:rsidRDefault="00E31ED2" w:rsidP="00AF2226">
      <w:pPr>
        <w:pStyle w:val="Heading2"/>
      </w:pPr>
      <w:r w:rsidRPr="00F259E4">
        <w:t>Part three: Consumers and prices</w:t>
      </w:r>
    </w:p>
    <w:p w14:paraId="51E29E2B" w14:textId="3E5949D1" w:rsidR="00DC3E20" w:rsidRPr="00F259E4" w:rsidRDefault="00E31ED2" w:rsidP="005F151B">
      <w:pPr>
        <w:spacing w:before="240" w:after="240"/>
        <w:rPr>
          <w:rFonts w:cstheme="minorHAnsi"/>
          <w:b/>
          <w:sz w:val="24"/>
        </w:rPr>
      </w:pPr>
      <w:r w:rsidRPr="00F259E4">
        <w:rPr>
          <w:rFonts w:cstheme="minorHAnsi"/>
          <w:b/>
          <w:sz w:val="24"/>
        </w:rPr>
        <w:t>Consumer interests</w:t>
      </w:r>
    </w:p>
    <w:p w14:paraId="38D519AF" w14:textId="0D11FEBF" w:rsidR="008D4B69" w:rsidRPr="00F259E4" w:rsidRDefault="00DC3E20" w:rsidP="001D7428">
      <w:pPr>
        <w:pStyle w:val="numberbullet"/>
        <w:tabs>
          <w:tab w:val="clear" w:pos="1134"/>
        </w:tabs>
        <w:ind w:left="426" w:hanging="426"/>
      </w:pPr>
      <w:r w:rsidRPr="00F259E4">
        <w:t>What are your views on the assessment of consumers’ priorities?</w:t>
      </w:r>
    </w:p>
    <w:p w14:paraId="083673E2" w14:textId="619A46A8" w:rsidR="000E67CC" w:rsidRPr="00F259E4" w:rsidRDefault="000E67CC" w:rsidP="00273087">
      <w:pPr>
        <w:pStyle w:val="ListParagraph"/>
        <w:keepNext/>
        <w:numPr>
          <w:ilvl w:val="0"/>
          <w:numId w:val="14"/>
        </w:numPr>
        <w:spacing w:after="60"/>
        <w:ind w:left="851" w:right="-285" w:hanging="425"/>
        <w:contextualSpacing w:val="0"/>
        <w:rPr>
          <w:rFonts w:cstheme="minorHAnsi"/>
          <w:bCs/>
          <w:color w:val="000000" w:themeColor="text1"/>
          <w:lang w:eastAsia="en-NZ"/>
        </w:rPr>
      </w:pPr>
      <w:r w:rsidRPr="00F259E4">
        <w:rPr>
          <w:rFonts w:cstheme="minorHAnsi"/>
          <w:color w:val="000000" w:themeColor="text1"/>
          <w:lang w:eastAsia="en-NZ"/>
        </w:rPr>
        <w:t>ENA and its members have carried out research on consumer priorities</w:t>
      </w:r>
      <w:r w:rsidR="0051442E">
        <w:rPr>
          <w:rStyle w:val="FootnoteReference"/>
          <w:rFonts w:cstheme="minorHAnsi"/>
          <w:color w:val="000000" w:themeColor="text1"/>
          <w:lang w:eastAsia="en-NZ"/>
        </w:rPr>
        <w:footnoteReference w:id="2"/>
      </w:r>
      <w:r w:rsidR="00201F65" w:rsidRPr="00F259E4">
        <w:rPr>
          <w:rFonts w:cstheme="minorHAnsi"/>
          <w:color w:val="000000" w:themeColor="text1"/>
          <w:lang w:eastAsia="en-NZ"/>
        </w:rPr>
        <w:t>, and these largely</w:t>
      </w:r>
      <w:r w:rsidR="008B7375" w:rsidRPr="00F259E4">
        <w:rPr>
          <w:rFonts w:cstheme="minorHAnsi"/>
          <w:color w:val="000000" w:themeColor="text1"/>
          <w:lang w:eastAsia="en-NZ"/>
        </w:rPr>
        <w:t xml:space="preserve"> concur with the higher</w:t>
      </w:r>
      <w:r w:rsidR="002B3E76" w:rsidRPr="00F259E4">
        <w:rPr>
          <w:rFonts w:cstheme="minorHAnsi"/>
          <w:color w:val="000000" w:themeColor="text1"/>
          <w:lang w:eastAsia="en-NZ"/>
        </w:rPr>
        <w:t>-</w:t>
      </w:r>
      <w:r w:rsidR="008B7375" w:rsidRPr="00F259E4">
        <w:rPr>
          <w:rFonts w:cstheme="minorHAnsi"/>
          <w:color w:val="000000" w:themeColor="text1"/>
          <w:lang w:eastAsia="en-NZ"/>
        </w:rPr>
        <w:t xml:space="preserve">level needs of consumers </w:t>
      </w:r>
      <w:r w:rsidR="00D00009" w:rsidRPr="00F259E4">
        <w:rPr>
          <w:rFonts w:cstheme="minorHAnsi"/>
          <w:color w:val="000000" w:themeColor="text1"/>
          <w:lang w:eastAsia="en-NZ"/>
        </w:rPr>
        <w:t>identified by the Panel as being centred around</w:t>
      </w:r>
      <w:r w:rsidR="008B7375" w:rsidRPr="00F259E4">
        <w:rPr>
          <w:rFonts w:cstheme="minorHAnsi"/>
          <w:color w:val="000000" w:themeColor="text1"/>
          <w:lang w:eastAsia="en-NZ"/>
        </w:rPr>
        <w:t xml:space="preserve"> reliability, fairness and </w:t>
      </w:r>
      <w:r w:rsidR="00D00009" w:rsidRPr="00F259E4">
        <w:rPr>
          <w:rFonts w:cstheme="minorHAnsi"/>
          <w:color w:val="000000" w:themeColor="text1"/>
          <w:lang w:eastAsia="en-NZ"/>
        </w:rPr>
        <w:t>affordability.</w:t>
      </w:r>
    </w:p>
    <w:p w14:paraId="5DDDC497" w14:textId="0A4BEA2A" w:rsidR="00164AE2" w:rsidRPr="00F259E4" w:rsidRDefault="005F68AB" w:rsidP="00273087">
      <w:pPr>
        <w:pStyle w:val="ListParagraph"/>
        <w:keepNext/>
        <w:numPr>
          <w:ilvl w:val="0"/>
          <w:numId w:val="14"/>
        </w:numPr>
        <w:spacing w:line="240" w:lineRule="auto"/>
        <w:ind w:left="851" w:right="-285" w:hanging="425"/>
        <w:contextualSpacing w:val="0"/>
        <w:rPr>
          <w:rFonts w:eastAsia="Times New Roman" w:cstheme="minorHAnsi"/>
          <w:lang w:eastAsia="en-NZ"/>
        </w:rPr>
      </w:pPr>
      <w:r w:rsidRPr="00F259E4">
        <w:rPr>
          <w:rFonts w:cstheme="minorHAnsi"/>
        </w:rPr>
        <w:t>For example, t</w:t>
      </w:r>
      <w:r w:rsidR="00164AE2" w:rsidRPr="00F259E4">
        <w:rPr>
          <w:rFonts w:cstheme="minorHAnsi"/>
        </w:rPr>
        <w:t xml:space="preserve">he recent ENA-organised consumer reference panel of electricity consumer representatives ranked their “three most important values to consumers”. </w:t>
      </w:r>
      <w:r w:rsidR="00164AE2" w:rsidRPr="00F259E4">
        <w:rPr>
          <w:rFonts w:eastAsia="Times New Roman" w:cstheme="minorHAnsi"/>
          <w:lang w:eastAsia="en-NZ"/>
        </w:rPr>
        <w:t xml:space="preserve">The </w:t>
      </w:r>
      <w:r w:rsidR="009D4D9B" w:rsidRPr="00F259E4">
        <w:rPr>
          <w:rFonts w:eastAsia="Times New Roman" w:cstheme="minorHAnsi"/>
          <w:lang w:eastAsia="en-NZ"/>
        </w:rPr>
        <w:t xml:space="preserve">most </w:t>
      </w:r>
      <w:r w:rsidR="00164AE2" w:rsidRPr="00F259E4">
        <w:rPr>
          <w:rFonts w:eastAsia="Times New Roman" w:cstheme="minorHAnsi"/>
          <w:lang w:eastAsia="en-NZ"/>
        </w:rPr>
        <w:t>votes (in descending order) were received for:</w:t>
      </w:r>
    </w:p>
    <w:p w14:paraId="1FCBC361" w14:textId="72D82A5A"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Affordable</w:t>
      </w:r>
    </w:p>
    <w:p w14:paraId="671310A4" w14:textId="69DDBB13"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Low carbon</w:t>
      </w:r>
    </w:p>
    <w:p w14:paraId="61724A74" w14:textId="7A5EB5D2"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Reliable</w:t>
      </w:r>
    </w:p>
    <w:p w14:paraId="789F2D09" w14:textId="1E72250A"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Customer-focused</w:t>
      </w:r>
    </w:p>
    <w:p w14:paraId="0D8FBDDD" w14:textId="1C03ABE7"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Resilient</w:t>
      </w:r>
    </w:p>
    <w:p w14:paraId="5E738A0B" w14:textId="53E68A65"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Future-focused</w:t>
      </w:r>
    </w:p>
    <w:p w14:paraId="1183C222" w14:textId="6CA85A3C" w:rsidR="00164AE2" w:rsidRPr="00F259E4" w:rsidRDefault="00164AE2" w:rsidP="00273087">
      <w:pPr>
        <w:pStyle w:val="ListParagraph"/>
        <w:numPr>
          <w:ilvl w:val="0"/>
          <w:numId w:val="8"/>
        </w:numPr>
        <w:spacing w:after="0" w:line="240" w:lineRule="auto"/>
        <w:ind w:left="1560" w:right="-285" w:hanging="284"/>
        <w:rPr>
          <w:rFonts w:eastAsia="Times New Roman" w:cstheme="minorHAnsi"/>
          <w:lang w:eastAsia="en-NZ"/>
        </w:rPr>
      </w:pPr>
      <w:r w:rsidRPr="00F259E4">
        <w:rPr>
          <w:rFonts w:eastAsia="Times New Roman" w:cstheme="minorHAnsi"/>
          <w:lang w:eastAsia="en-NZ"/>
        </w:rPr>
        <w:t>Sustainable.</w:t>
      </w:r>
    </w:p>
    <w:p w14:paraId="119A987A" w14:textId="77777777" w:rsidR="000A1AB9" w:rsidRPr="00F259E4" w:rsidRDefault="000A1AB9" w:rsidP="001468A3">
      <w:pPr>
        <w:pStyle w:val="ListParagraph"/>
        <w:spacing w:after="0" w:line="240" w:lineRule="auto"/>
        <w:ind w:left="3897" w:right="-285"/>
        <w:rPr>
          <w:rFonts w:eastAsia="Times New Roman" w:cstheme="minorHAnsi"/>
          <w:lang w:eastAsia="en-NZ"/>
        </w:rPr>
      </w:pPr>
    </w:p>
    <w:p w14:paraId="7E270253" w14:textId="12B99CBE" w:rsidR="007F164E" w:rsidRPr="00F259E4" w:rsidRDefault="007F164E" w:rsidP="00273087">
      <w:pPr>
        <w:pStyle w:val="ListParagraph"/>
        <w:keepNext/>
        <w:numPr>
          <w:ilvl w:val="0"/>
          <w:numId w:val="14"/>
        </w:numPr>
        <w:spacing w:after="60"/>
        <w:ind w:left="851" w:right="-285" w:hanging="425"/>
        <w:contextualSpacing w:val="0"/>
        <w:rPr>
          <w:rFonts w:cstheme="minorHAnsi"/>
          <w:bCs/>
          <w:color w:val="000000" w:themeColor="text1"/>
          <w:lang w:eastAsia="en-NZ"/>
        </w:rPr>
      </w:pPr>
      <w:r w:rsidRPr="00F259E4">
        <w:rPr>
          <w:rFonts w:cstheme="minorHAnsi"/>
          <w:bCs/>
          <w:color w:val="000000" w:themeColor="text1"/>
          <w:lang w:eastAsia="en-NZ"/>
        </w:rPr>
        <w:t>Other research</w:t>
      </w:r>
      <w:r w:rsidR="00AA6FFA">
        <w:rPr>
          <w:rStyle w:val="FootnoteReference"/>
          <w:rFonts w:cstheme="minorHAnsi"/>
          <w:bCs/>
          <w:color w:val="000000" w:themeColor="text1"/>
          <w:lang w:eastAsia="en-NZ"/>
        </w:rPr>
        <w:footnoteReference w:id="3"/>
      </w:r>
      <w:r w:rsidRPr="00F259E4">
        <w:rPr>
          <w:rFonts w:cstheme="minorHAnsi"/>
          <w:bCs/>
          <w:color w:val="000000" w:themeColor="text1"/>
          <w:lang w:eastAsia="en-NZ"/>
        </w:rPr>
        <w:t xml:space="preserve"> </w:t>
      </w:r>
      <w:r w:rsidR="008150DB" w:rsidRPr="00F259E4">
        <w:rPr>
          <w:rFonts w:cstheme="minorHAnsi"/>
          <w:bCs/>
          <w:color w:val="000000" w:themeColor="text1"/>
          <w:lang w:eastAsia="en-NZ"/>
        </w:rPr>
        <w:t xml:space="preserve">we have undertaken </w:t>
      </w:r>
      <w:r w:rsidRPr="00F259E4">
        <w:rPr>
          <w:rFonts w:cstheme="minorHAnsi"/>
          <w:bCs/>
          <w:color w:val="000000" w:themeColor="text1"/>
          <w:lang w:eastAsia="en-NZ"/>
        </w:rPr>
        <w:t xml:space="preserve">has shown that consumers also greatly value </w:t>
      </w:r>
      <w:r w:rsidRPr="00F259E4">
        <w:rPr>
          <w:rFonts w:cstheme="minorHAnsi"/>
          <w:bCs/>
          <w:i/>
          <w:color w:val="000000" w:themeColor="text1"/>
          <w:lang w:eastAsia="en-NZ"/>
        </w:rPr>
        <w:t>simplicity</w:t>
      </w:r>
      <w:r w:rsidRPr="00F259E4">
        <w:rPr>
          <w:rFonts w:cstheme="minorHAnsi"/>
          <w:bCs/>
          <w:color w:val="000000" w:themeColor="text1"/>
          <w:lang w:eastAsia="en-NZ"/>
        </w:rPr>
        <w:t>, and</w:t>
      </w:r>
      <w:r w:rsidR="000D7EF2" w:rsidRPr="00F259E4">
        <w:rPr>
          <w:rFonts w:cstheme="minorHAnsi"/>
          <w:bCs/>
          <w:color w:val="000000" w:themeColor="text1"/>
          <w:lang w:eastAsia="en-NZ"/>
        </w:rPr>
        <w:t xml:space="preserve"> that most </w:t>
      </w:r>
      <w:r w:rsidR="00FD515E" w:rsidRPr="00F259E4">
        <w:rPr>
          <w:rFonts w:cstheme="minorHAnsi"/>
          <w:bCs/>
          <w:color w:val="000000" w:themeColor="text1"/>
          <w:lang w:eastAsia="en-NZ"/>
        </w:rPr>
        <w:t xml:space="preserve">consumers </w:t>
      </w:r>
      <w:r w:rsidR="000D7EF2" w:rsidRPr="00F259E4">
        <w:rPr>
          <w:rFonts w:cstheme="minorHAnsi"/>
          <w:bCs/>
          <w:color w:val="000000" w:themeColor="text1"/>
          <w:lang w:eastAsia="en-NZ"/>
        </w:rPr>
        <w:t xml:space="preserve">thought this was </w:t>
      </w:r>
      <w:r w:rsidR="008150DB" w:rsidRPr="00F259E4">
        <w:rPr>
          <w:rFonts w:cstheme="minorHAnsi"/>
          <w:bCs/>
          <w:color w:val="000000" w:themeColor="text1"/>
          <w:lang w:eastAsia="en-NZ"/>
        </w:rPr>
        <w:t xml:space="preserve">severely </w:t>
      </w:r>
      <w:r w:rsidR="000D7EF2" w:rsidRPr="00F259E4">
        <w:rPr>
          <w:rFonts w:cstheme="minorHAnsi"/>
          <w:bCs/>
          <w:color w:val="000000" w:themeColor="text1"/>
          <w:lang w:eastAsia="en-NZ"/>
        </w:rPr>
        <w:t xml:space="preserve">lacking in terms of </w:t>
      </w:r>
      <w:r w:rsidR="003F33BE" w:rsidRPr="00F259E4">
        <w:rPr>
          <w:rFonts w:cstheme="minorHAnsi"/>
          <w:bCs/>
          <w:color w:val="000000" w:themeColor="text1"/>
          <w:lang w:eastAsia="en-NZ"/>
        </w:rPr>
        <w:t xml:space="preserve">both the structure of </w:t>
      </w:r>
      <w:r w:rsidR="000D7EF2" w:rsidRPr="00F259E4">
        <w:rPr>
          <w:rFonts w:cstheme="minorHAnsi"/>
          <w:bCs/>
          <w:color w:val="000000" w:themeColor="text1"/>
          <w:lang w:eastAsia="en-NZ"/>
        </w:rPr>
        <w:t>New Zealand</w:t>
      </w:r>
      <w:r w:rsidR="00EC27A4" w:rsidRPr="00F259E4">
        <w:rPr>
          <w:rFonts w:cstheme="minorHAnsi"/>
          <w:bCs/>
          <w:color w:val="000000" w:themeColor="text1"/>
          <w:lang w:eastAsia="en-NZ"/>
        </w:rPr>
        <w:t xml:space="preserve">’s </w:t>
      </w:r>
      <w:r w:rsidR="000D7EF2" w:rsidRPr="00F259E4">
        <w:rPr>
          <w:rFonts w:cstheme="minorHAnsi"/>
          <w:bCs/>
          <w:color w:val="000000" w:themeColor="text1"/>
          <w:lang w:eastAsia="en-NZ"/>
        </w:rPr>
        <w:t>electricity system and</w:t>
      </w:r>
      <w:r w:rsidR="008150DB" w:rsidRPr="00F259E4">
        <w:rPr>
          <w:rFonts w:cstheme="minorHAnsi"/>
          <w:bCs/>
          <w:color w:val="000000" w:themeColor="text1"/>
          <w:lang w:eastAsia="en-NZ"/>
        </w:rPr>
        <w:t xml:space="preserve"> </w:t>
      </w:r>
      <w:r w:rsidR="003F33BE" w:rsidRPr="00F259E4">
        <w:rPr>
          <w:rFonts w:cstheme="minorHAnsi"/>
          <w:bCs/>
          <w:color w:val="000000" w:themeColor="text1"/>
          <w:lang w:eastAsia="en-NZ"/>
        </w:rPr>
        <w:t xml:space="preserve">its </w:t>
      </w:r>
      <w:r w:rsidR="008150DB" w:rsidRPr="00F259E4">
        <w:rPr>
          <w:rFonts w:cstheme="minorHAnsi"/>
          <w:bCs/>
          <w:color w:val="000000" w:themeColor="text1"/>
          <w:lang w:eastAsia="en-NZ"/>
        </w:rPr>
        <w:t>billing</w:t>
      </w:r>
      <w:r w:rsidR="00820D06" w:rsidRPr="00F259E4">
        <w:rPr>
          <w:rFonts w:cstheme="minorHAnsi"/>
          <w:bCs/>
          <w:color w:val="000000" w:themeColor="text1"/>
          <w:lang w:eastAsia="en-NZ"/>
        </w:rPr>
        <w:t xml:space="preserve"> practices.</w:t>
      </w:r>
    </w:p>
    <w:p w14:paraId="2864812D" w14:textId="74207C69" w:rsidR="008E3803" w:rsidRPr="00F259E4" w:rsidRDefault="00245B12" w:rsidP="00273087">
      <w:pPr>
        <w:pStyle w:val="ListParagraph"/>
        <w:keepNext/>
        <w:numPr>
          <w:ilvl w:val="0"/>
          <w:numId w:val="14"/>
        </w:numPr>
        <w:spacing w:after="60"/>
        <w:ind w:left="851" w:right="-285" w:hanging="425"/>
        <w:contextualSpacing w:val="0"/>
        <w:rPr>
          <w:rFonts w:cstheme="minorHAnsi"/>
          <w:color w:val="000000" w:themeColor="text1"/>
          <w:lang w:eastAsia="en-NZ"/>
        </w:rPr>
      </w:pPr>
      <w:r w:rsidRPr="00F259E4">
        <w:rPr>
          <w:rFonts w:cstheme="minorHAnsi"/>
          <w:bCs/>
          <w:color w:val="000000" w:themeColor="text1"/>
          <w:lang w:eastAsia="en-NZ"/>
        </w:rPr>
        <w:t xml:space="preserve">An overwhelming finding of consumer research we have undertaken </w:t>
      </w:r>
      <w:r w:rsidR="00620C4B" w:rsidRPr="00F259E4">
        <w:rPr>
          <w:rFonts w:cstheme="minorHAnsi"/>
          <w:bCs/>
          <w:color w:val="000000" w:themeColor="text1"/>
          <w:lang w:eastAsia="en-NZ"/>
        </w:rPr>
        <w:t>(and that undertaken by CSIRO in Australia</w:t>
      </w:r>
      <w:r w:rsidR="00E50F99">
        <w:rPr>
          <w:rStyle w:val="FootnoteReference"/>
          <w:rFonts w:cstheme="minorHAnsi"/>
          <w:bCs/>
          <w:color w:val="000000" w:themeColor="text1"/>
          <w:lang w:eastAsia="en-NZ"/>
        </w:rPr>
        <w:footnoteReference w:id="4"/>
      </w:r>
      <w:r w:rsidR="00620C4B" w:rsidRPr="00F259E4">
        <w:rPr>
          <w:rFonts w:cstheme="minorHAnsi"/>
          <w:bCs/>
          <w:color w:val="000000" w:themeColor="text1"/>
          <w:lang w:eastAsia="en-NZ"/>
        </w:rPr>
        <w:t xml:space="preserve">) </w:t>
      </w:r>
      <w:r w:rsidRPr="00F259E4">
        <w:rPr>
          <w:rFonts w:cstheme="minorHAnsi"/>
          <w:bCs/>
          <w:color w:val="000000" w:themeColor="text1"/>
          <w:lang w:eastAsia="en-NZ"/>
        </w:rPr>
        <w:t xml:space="preserve">is that overall consumers do not </w:t>
      </w:r>
      <w:r w:rsidR="00315590" w:rsidRPr="00F259E4">
        <w:rPr>
          <w:rFonts w:cstheme="minorHAnsi"/>
          <w:bCs/>
          <w:color w:val="000000" w:themeColor="text1"/>
          <w:lang w:eastAsia="en-NZ"/>
        </w:rPr>
        <w:t xml:space="preserve">generally </w:t>
      </w:r>
      <w:r w:rsidRPr="00F259E4">
        <w:rPr>
          <w:rFonts w:cstheme="minorHAnsi"/>
          <w:bCs/>
          <w:color w:val="000000" w:themeColor="text1"/>
          <w:lang w:eastAsia="en-NZ"/>
        </w:rPr>
        <w:t xml:space="preserve">want to </w:t>
      </w:r>
      <w:r w:rsidR="00D74D6F" w:rsidRPr="00F259E4">
        <w:rPr>
          <w:rFonts w:cstheme="minorHAnsi"/>
          <w:bCs/>
          <w:color w:val="000000" w:themeColor="text1"/>
          <w:lang w:eastAsia="en-NZ"/>
        </w:rPr>
        <w:t>spend much time or effort thinking about their electricity supply</w:t>
      </w:r>
      <w:r w:rsidR="00464EC8" w:rsidRPr="00F259E4">
        <w:rPr>
          <w:rFonts w:cstheme="minorHAnsi"/>
          <w:bCs/>
          <w:color w:val="000000" w:themeColor="text1"/>
          <w:lang w:eastAsia="en-NZ"/>
        </w:rPr>
        <w:t xml:space="preserve"> or its options. The exceptions to this are consumers who have embraced</w:t>
      </w:r>
      <w:r w:rsidR="000864FD" w:rsidRPr="00F259E4">
        <w:rPr>
          <w:rFonts w:cstheme="minorHAnsi"/>
          <w:bCs/>
          <w:color w:val="000000" w:themeColor="text1"/>
          <w:lang w:eastAsia="en-NZ"/>
        </w:rPr>
        <w:t xml:space="preserve"> new technology such as </w:t>
      </w:r>
      <w:r w:rsidR="00973C9A">
        <w:rPr>
          <w:rFonts w:cstheme="minorHAnsi"/>
          <w:bCs/>
          <w:color w:val="000000" w:themeColor="text1"/>
          <w:lang w:eastAsia="en-NZ"/>
        </w:rPr>
        <w:t>solar photovoltaic panels (PV)</w:t>
      </w:r>
      <w:r w:rsidR="000864FD" w:rsidRPr="00F259E4">
        <w:rPr>
          <w:rFonts w:cstheme="minorHAnsi"/>
          <w:bCs/>
          <w:color w:val="000000" w:themeColor="text1"/>
          <w:lang w:eastAsia="en-NZ"/>
        </w:rPr>
        <w:t xml:space="preserve">. </w:t>
      </w:r>
      <w:r w:rsidR="00396DA8" w:rsidRPr="00F259E4">
        <w:rPr>
          <w:rFonts w:cstheme="minorHAnsi"/>
          <w:bCs/>
          <w:color w:val="000000" w:themeColor="text1"/>
          <w:lang w:eastAsia="en-NZ"/>
        </w:rPr>
        <w:t>These consumers were often much happier to</w:t>
      </w:r>
      <w:r w:rsidR="00315590" w:rsidRPr="00F259E4">
        <w:rPr>
          <w:rFonts w:cstheme="minorHAnsi"/>
          <w:bCs/>
          <w:color w:val="000000" w:themeColor="text1"/>
          <w:lang w:eastAsia="en-NZ"/>
        </w:rPr>
        <w:t xml:space="preserve"> be engaged.</w:t>
      </w:r>
      <w:r w:rsidR="00053299" w:rsidRPr="00F259E4">
        <w:rPr>
          <w:rFonts w:cstheme="minorHAnsi"/>
          <w:bCs/>
          <w:color w:val="000000" w:themeColor="text1"/>
          <w:lang w:eastAsia="en-NZ"/>
        </w:rPr>
        <w:t xml:space="preserve"> </w:t>
      </w:r>
      <w:r w:rsidR="00E367DC" w:rsidRPr="00F259E4">
        <w:rPr>
          <w:rFonts w:cstheme="minorHAnsi"/>
          <w:color w:val="000000" w:themeColor="text1"/>
          <w:lang w:eastAsia="en-NZ"/>
        </w:rPr>
        <w:t>(</w:t>
      </w:r>
      <w:r w:rsidR="009604C7" w:rsidRPr="00F259E4">
        <w:rPr>
          <w:rFonts w:cstheme="minorHAnsi"/>
          <w:color w:val="000000" w:themeColor="text1"/>
          <w:lang w:eastAsia="en-NZ"/>
        </w:rPr>
        <w:t xml:space="preserve">ENA can provide summaries of </w:t>
      </w:r>
      <w:r w:rsidR="008D4B69" w:rsidRPr="00F259E4">
        <w:rPr>
          <w:rFonts w:cstheme="minorHAnsi"/>
          <w:color w:val="000000" w:themeColor="text1"/>
          <w:lang w:eastAsia="en-NZ"/>
        </w:rPr>
        <w:t xml:space="preserve">findings from UMR reports on focus groups and </w:t>
      </w:r>
      <w:r w:rsidR="009604C7" w:rsidRPr="00F259E4">
        <w:rPr>
          <w:rFonts w:cstheme="minorHAnsi"/>
          <w:color w:val="000000" w:themeColor="text1"/>
          <w:lang w:eastAsia="en-NZ"/>
        </w:rPr>
        <w:t xml:space="preserve">a </w:t>
      </w:r>
      <w:r w:rsidR="008D4B69" w:rsidRPr="00F259E4">
        <w:rPr>
          <w:rFonts w:cstheme="minorHAnsi"/>
          <w:color w:val="000000" w:themeColor="text1"/>
          <w:lang w:eastAsia="en-NZ"/>
        </w:rPr>
        <w:t>consumer panel.</w:t>
      </w:r>
      <w:r w:rsidR="00E367DC" w:rsidRPr="00F259E4">
        <w:rPr>
          <w:rFonts w:cstheme="minorHAnsi"/>
          <w:color w:val="000000" w:themeColor="text1"/>
          <w:lang w:eastAsia="en-NZ"/>
        </w:rPr>
        <w:t>)</w:t>
      </w:r>
    </w:p>
    <w:p w14:paraId="03BF4E7C" w14:textId="77777777" w:rsidR="008D4B69" w:rsidRPr="00F259E4" w:rsidRDefault="008D4B69" w:rsidP="001468A3">
      <w:pPr>
        <w:keepNext/>
        <w:spacing w:after="60"/>
        <w:ind w:right="-285"/>
        <w:rPr>
          <w:rFonts w:cstheme="minorHAnsi"/>
          <w:b/>
          <w:color w:val="000000" w:themeColor="text1"/>
          <w:lang w:eastAsia="en-NZ"/>
        </w:rPr>
      </w:pPr>
    </w:p>
    <w:p w14:paraId="5C7EE21B" w14:textId="77777777" w:rsidR="00F0324C" w:rsidRPr="00F259E4" w:rsidRDefault="009F1C50" w:rsidP="001D7428">
      <w:pPr>
        <w:pStyle w:val="numberbullet"/>
        <w:tabs>
          <w:tab w:val="clear" w:pos="1134"/>
        </w:tabs>
        <w:ind w:left="426" w:hanging="426"/>
      </w:pPr>
      <w:r w:rsidRPr="00F259E4">
        <w:t>What are your views on whether consumers have an effective voice in the electricity sector?</w:t>
      </w:r>
      <w:r w:rsidR="00226100" w:rsidRPr="00F259E4">
        <w:t xml:space="preserve"> </w:t>
      </w:r>
    </w:p>
    <w:p w14:paraId="2430F877" w14:textId="19B95F32" w:rsidR="001D7428" w:rsidRDefault="00FE1AEA" w:rsidP="00273087">
      <w:pPr>
        <w:pStyle w:val="ListParagraph"/>
        <w:widowControl w:val="0"/>
        <w:numPr>
          <w:ilvl w:val="0"/>
          <w:numId w:val="7"/>
        </w:numPr>
        <w:spacing w:after="60"/>
        <w:ind w:left="851" w:right="-285" w:hanging="425"/>
        <w:contextualSpacing w:val="0"/>
        <w:rPr>
          <w:rFonts w:cstheme="minorHAnsi"/>
          <w:bCs/>
          <w:color w:val="000000" w:themeColor="text1"/>
          <w:lang w:eastAsia="en-NZ"/>
        </w:rPr>
      </w:pPr>
      <w:r w:rsidRPr="00F259E4">
        <w:rPr>
          <w:rFonts w:cstheme="minorHAnsi"/>
          <w:bCs/>
          <w:color w:val="000000" w:themeColor="text1"/>
          <w:lang w:eastAsia="en-NZ"/>
        </w:rPr>
        <w:t>From our consumer research, m</w:t>
      </w:r>
      <w:r w:rsidR="00DF1B5F" w:rsidRPr="00F259E4">
        <w:rPr>
          <w:rFonts w:cstheme="minorHAnsi"/>
          <w:bCs/>
          <w:color w:val="000000" w:themeColor="text1"/>
          <w:lang w:eastAsia="en-NZ"/>
        </w:rPr>
        <w:t xml:space="preserve">ost </w:t>
      </w:r>
      <w:r w:rsidR="002E24B4" w:rsidRPr="00F259E4">
        <w:rPr>
          <w:rFonts w:cstheme="minorHAnsi"/>
          <w:bCs/>
          <w:color w:val="000000" w:themeColor="text1"/>
          <w:lang w:eastAsia="en-NZ"/>
        </w:rPr>
        <w:t xml:space="preserve">residential </w:t>
      </w:r>
      <w:r w:rsidR="00DF1B5F" w:rsidRPr="00F259E4">
        <w:rPr>
          <w:rFonts w:cstheme="minorHAnsi"/>
          <w:bCs/>
          <w:color w:val="000000" w:themeColor="text1"/>
          <w:lang w:eastAsia="en-NZ"/>
        </w:rPr>
        <w:t xml:space="preserve">users </w:t>
      </w:r>
      <w:r w:rsidR="002E24B4" w:rsidRPr="00F259E4">
        <w:rPr>
          <w:rFonts w:cstheme="minorHAnsi"/>
          <w:bCs/>
          <w:color w:val="000000" w:themeColor="text1"/>
          <w:lang w:eastAsia="en-NZ"/>
        </w:rPr>
        <w:t>prefer to be passive consumers, and not to have to think too much about</w:t>
      </w:r>
      <w:r w:rsidR="00646ED8" w:rsidRPr="00F259E4">
        <w:rPr>
          <w:rFonts w:cstheme="minorHAnsi"/>
          <w:bCs/>
          <w:color w:val="000000" w:themeColor="text1"/>
          <w:lang w:eastAsia="en-NZ"/>
        </w:rPr>
        <w:t xml:space="preserve"> their electricity supply</w:t>
      </w:r>
      <w:r w:rsidR="009B16F7">
        <w:rPr>
          <w:rFonts w:cstheme="minorHAnsi"/>
          <w:bCs/>
          <w:color w:val="000000" w:themeColor="text1"/>
          <w:lang w:eastAsia="en-NZ"/>
        </w:rPr>
        <w:t>.</w:t>
      </w:r>
      <w:r w:rsidR="00646ED8" w:rsidRPr="00F259E4">
        <w:rPr>
          <w:rFonts w:cstheme="minorHAnsi"/>
          <w:bCs/>
          <w:color w:val="000000" w:themeColor="text1"/>
          <w:lang w:eastAsia="en-NZ"/>
        </w:rPr>
        <w:t xml:space="preserve"> </w:t>
      </w:r>
      <w:r w:rsidR="009B16F7">
        <w:rPr>
          <w:rFonts w:cstheme="minorHAnsi"/>
          <w:bCs/>
          <w:color w:val="000000" w:themeColor="text1"/>
          <w:lang w:eastAsia="en-NZ"/>
        </w:rPr>
        <w:t>F</w:t>
      </w:r>
      <w:r w:rsidR="004A74D9" w:rsidRPr="00F259E4">
        <w:rPr>
          <w:rFonts w:cstheme="minorHAnsi"/>
          <w:bCs/>
          <w:color w:val="000000" w:themeColor="text1"/>
          <w:lang w:eastAsia="en-NZ"/>
        </w:rPr>
        <w:t>or instance, in terms of</w:t>
      </w:r>
      <w:r w:rsidR="00015F0D" w:rsidRPr="00F259E4">
        <w:rPr>
          <w:rFonts w:cstheme="minorHAnsi"/>
          <w:bCs/>
          <w:color w:val="000000" w:themeColor="text1"/>
          <w:lang w:eastAsia="en-NZ"/>
        </w:rPr>
        <w:t xml:space="preserve"> </w:t>
      </w:r>
      <w:r w:rsidR="00C52B36" w:rsidRPr="00F259E4">
        <w:rPr>
          <w:rFonts w:cstheme="minorHAnsi"/>
          <w:bCs/>
          <w:color w:val="000000" w:themeColor="text1"/>
          <w:lang w:eastAsia="en-NZ"/>
        </w:rPr>
        <w:t xml:space="preserve">potential </w:t>
      </w:r>
      <w:r w:rsidR="00D3367C" w:rsidRPr="00F259E4">
        <w:rPr>
          <w:rFonts w:cstheme="minorHAnsi"/>
          <w:bCs/>
          <w:color w:val="000000" w:themeColor="text1"/>
          <w:lang w:eastAsia="en-NZ"/>
        </w:rPr>
        <w:t>new technologies</w:t>
      </w:r>
      <w:r w:rsidR="00015F0D" w:rsidRPr="00F259E4">
        <w:rPr>
          <w:rFonts w:cstheme="minorHAnsi"/>
          <w:bCs/>
          <w:color w:val="000000" w:themeColor="text1"/>
          <w:lang w:eastAsia="en-NZ"/>
        </w:rPr>
        <w:t xml:space="preserve"> that may optimise their electricity usage and cost</w:t>
      </w:r>
      <w:r w:rsidR="00B72CEF" w:rsidRPr="00F259E4">
        <w:rPr>
          <w:rFonts w:cstheme="minorHAnsi"/>
          <w:bCs/>
          <w:color w:val="000000" w:themeColor="text1"/>
          <w:lang w:eastAsia="en-NZ"/>
        </w:rPr>
        <w:t xml:space="preserve">, most </w:t>
      </w:r>
      <w:r w:rsidR="00E61EA0" w:rsidRPr="00F259E4">
        <w:rPr>
          <w:rFonts w:cstheme="minorHAnsi"/>
          <w:bCs/>
          <w:color w:val="000000" w:themeColor="text1"/>
          <w:lang w:eastAsia="en-NZ"/>
        </w:rPr>
        <w:t xml:space="preserve">consumers researched </w:t>
      </w:r>
      <w:r w:rsidR="00B72CEF" w:rsidRPr="00F259E4">
        <w:rPr>
          <w:rFonts w:cstheme="minorHAnsi"/>
          <w:bCs/>
          <w:color w:val="000000" w:themeColor="text1"/>
          <w:lang w:eastAsia="en-NZ"/>
        </w:rPr>
        <w:t>have expressed a p</w:t>
      </w:r>
      <w:r w:rsidR="00646ED8" w:rsidRPr="00F259E4">
        <w:rPr>
          <w:rFonts w:cstheme="minorHAnsi"/>
          <w:bCs/>
          <w:color w:val="000000" w:themeColor="text1"/>
          <w:lang w:eastAsia="en-NZ"/>
        </w:rPr>
        <w:t xml:space="preserve">reference for </w:t>
      </w:r>
      <w:r w:rsidR="000B23F4" w:rsidRPr="00F259E4">
        <w:rPr>
          <w:rFonts w:cstheme="minorHAnsi"/>
          <w:bCs/>
          <w:color w:val="000000" w:themeColor="text1"/>
          <w:lang w:eastAsia="en-NZ"/>
        </w:rPr>
        <w:t>set</w:t>
      </w:r>
      <w:r w:rsidR="004F2A4E" w:rsidRPr="00F259E4">
        <w:rPr>
          <w:rFonts w:cstheme="minorHAnsi"/>
          <w:bCs/>
          <w:color w:val="000000" w:themeColor="text1"/>
          <w:lang w:eastAsia="en-NZ"/>
        </w:rPr>
        <w:t>-</w:t>
      </w:r>
      <w:r w:rsidR="000B23F4" w:rsidRPr="00F259E4">
        <w:rPr>
          <w:rFonts w:cstheme="minorHAnsi"/>
          <w:bCs/>
          <w:color w:val="000000" w:themeColor="text1"/>
          <w:lang w:eastAsia="en-NZ"/>
        </w:rPr>
        <w:t>and</w:t>
      </w:r>
      <w:r w:rsidR="004F2A4E" w:rsidRPr="00F259E4">
        <w:rPr>
          <w:rFonts w:cstheme="minorHAnsi"/>
          <w:bCs/>
          <w:color w:val="000000" w:themeColor="text1"/>
          <w:lang w:eastAsia="en-NZ"/>
        </w:rPr>
        <w:t>-</w:t>
      </w:r>
      <w:r w:rsidR="000B23F4" w:rsidRPr="00F259E4">
        <w:rPr>
          <w:rFonts w:cstheme="minorHAnsi"/>
          <w:bCs/>
          <w:color w:val="000000" w:themeColor="text1"/>
          <w:lang w:eastAsia="en-NZ"/>
        </w:rPr>
        <w:t>forget</w:t>
      </w:r>
      <w:r w:rsidR="000E02C7" w:rsidRPr="00F259E4">
        <w:rPr>
          <w:rFonts w:cstheme="minorHAnsi"/>
          <w:bCs/>
          <w:color w:val="000000" w:themeColor="text1"/>
          <w:lang w:eastAsia="en-NZ"/>
        </w:rPr>
        <w:t xml:space="preserve"> </w:t>
      </w:r>
      <w:r w:rsidR="005F6A3E" w:rsidRPr="00F259E4">
        <w:rPr>
          <w:rFonts w:cstheme="minorHAnsi"/>
          <w:bCs/>
          <w:color w:val="000000" w:themeColor="text1"/>
          <w:lang w:eastAsia="en-NZ"/>
        </w:rPr>
        <w:t xml:space="preserve">options </w:t>
      </w:r>
      <w:r w:rsidR="000E02C7" w:rsidRPr="00F259E4">
        <w:rPr>
          <w:rFonts w:cstheme="minorHAnsi"/>
          <w:bCs/>
          <w:color w:val="000000" w:themeColor="text1"/>
          <w:lang w:eastAsia="en-NZ"/>
        </w:rPr>
        <w:t>and/or</w:t>
      </w:r>
      <w:r w:rsidR="000B23F4" w:rsidRPr="00F259E4">
        <w:rPr>
          <w:rFonts w:cstheme="minorHAnsi"/>
          <w:bCs/>
          <w:color w:val="000000" w:themeColor="text1"/>
          <w:lang w:eastAsia="en-NZ"/>
        </w:rPr>
        <w:t xml:space="preserve"> </w:t>
      </w:r>
      <w:r w:rsidR="00646ED8" w:rsidRPr="00F259E4">
        <w:rPr>
          <w:rFonts w:cstheme="minorHAnsi"/>
          <w:bCs/>
          <w:color w:val="000000" w:themeColor="text1"/>
          <w:lang w:eastAsia="en-NZ"/>
        </w:rPr>
        <w:t>automat</w:t>
      </w:r>
      <w:r w:rsidR="00ED3182" w:rsidRPr="00F259E4">
        <w:rPr>
          <w:rFonts w:cstheme="minorHAnsi"/>
          <w:bCs/>
          <w:color w:val="000000" w:themeColor="text1"/>
          <w:lang w:eastAsia="en-NZ"/>
        </w:rPr>
        <w:t xml:space="preserve">ed </w:t>
      </w:r>
      <w:r w:rsidR="000E02C7" w:rsidRPr="00F259E4">
        <w:rPr>
          <w:rFonts w:cstheme="minorHAnsi"/>
          <w:bCs/>
          <w:color w:val="000000" w:themeColor="text1"/>
          <w:lang w:eastAsia="en-NZ"/>
        </w:rPr>
        <w:t>demand management technology</w:t>
      </w:r>
      <w:r w:rsidR="004F2A4E" w:rsidRPr="00F259E4">
        <w:rPr>
          <w:rFonts w:cstheme="minorHAnsi"/>
          <w:bCs/>
          <w:color w:val="000000" w:themeColor="text1"/>
          <w:lang w:eastAsia="en-NZ"/>
        </w:rPr>
        <w:t>.</w:t>
      </w:r>
    </w:p>
    <w:p w14:paraId="2B80D97D" w14:textId="1ED13BCB" w:rsidR="00DF1B5F" w:rsidRPr="001D7428" w:rsidRDefault="001D7428" w:rsidP="001D7428">
      <w:pPr>
        <w:rPr>
          <w:rFonts w:cstheme="minorHAnsi"/>
          <w:bCs/>
          <w:color w:val="000000" w:themeColor="text1"/>
          <w:lang w:eastAsia="en-NZ"/>
        </w:rPr>
      </w:pPr>
      <w:r>
        <w:rPr>
          <w:rFonts w:cstheme="minorHAnsi"/>
          <w:bCs/>
          <w:color w:val="000000" w:themeColor="text1"/>
          <w:lang w:eastAsia="en-NZ"/>
        </w:rPr>
        <w:br w:type="page"/>
      </w:r>
    </w:p>
    <w:p w14:paraId="5024DB12" w14:textId="5E30449C" w:rsidR="001D7428" w:rsidRDefault="00CE69D1" w:rsidP="00273087">
      <w:pPr>
        <w:pStyle w:val="ListParagraph"/>
        <w:widowControl w:val="0"/>
        <w:numPr>
          <w:ilvl w:val="0"/>
          <w:numId w:val="7"/>
        </w:numPr>
        <w:ind w:left="851" w:right="-285" w:hanging="425"/>
        <w:contextualSpacing w:val="0"/>
        <w:rPr>
          <w:rFonts w:cstheme="minorHAnsi"/>
          <w:color w:val="000000" w:themeColor="text1"/>
          <w:lang w:eastAsia="en-NZ"/>
        </w:rPr>
      </w:pPr>
      <w:r w:rsidRPr="00F259E4">
        <w:rPr>
          <w:rFonts w:cstheme="minorHAnsi"/>
          <w:color w:val="000000" w:themeColor="text1"/>
          <w:lang w:eastAsia="en-NZ"/>
        </w:rPr>
        <w:lastRenderedPageBreak/>
        <w:t xml:space="preserve">Having said that, </w:t>
      </w:r>
      <w:r w:rsidR="005C144C" w:rsidRPr="00F259E4">
        <w:rPr>
          <w:rFonts w:cstheme="minorHAnsi"/>
          <w:color w:val="000000" w:themeColor="text1"/>
          <w:lang w:eastAsia="en-NZ"/>
        </w:rPr>
        <w:t xml:space="preserve">while most residential consumers struggle with what </w:t>
      </w:r>
      <w:r w:rsidR="006B0E44" w:rsidRPr="00F259E4">
        <w:rPr>
          <w:rFonts w:cstheme="minorHAnsi"/>
          <w:color w:val="000000" w:themeColor="text1"/>
          <w:lang w:eastAsia="en-NZ"/>
        </w:rPr>
        <w:t>is</w:t>
      </w:r>
      <w:r w:rsidR="005C144C" w:rsidRPr="00F259E4">
        <w:rPr>
          <w:rFonts w:cstheme="minorHAnsi"/>
          <w:color w:val="000000" w:themeColor="text1"/>
          <w:lang w:eastAsia="en-NZ"/>
        </w:rPr>
        <w:t xml:space="preserve"> perceived to be </w:t>
      </w:r>
      <w:r w:rsidR="002D5683" w:rsidRPr="00F259E4">
        <w:rPr>
          <w:rFonts w:cstheme="minorHAnsi"/>
          <w:color w:val="000000" w:themeColor="text1"/>
          <w:lang w:eastAsia="en-NZ"/>
        </w:rPr>
        <w:t xml:space="preserve">the </w:t>
      </w:r>
      <w:r w:rsidR="005C144C" w:rsidRPr="00F259E4">
        <w:rPr>
          <w:rFonts w:cstheme="minorHAnsi"/>
          <w:color w:val="000000" w:themeColor="text1"/>
          <w:lang w:eastAsia="en-NZ"/>
        </w:rPr>
        <w:t>overly</w:t>
      </w:r>
      <w:r w:rsidR="00817391">
        <w:rPr>
          <w:rFonts w:cstheme="minorHAnsi"/>
          <w:color w:val="000000" w:themeColor="text1"/>
          <w:lang w:eastAsia="en-NZ"/>
        </w:rPr>
        <w:t xml:space="preserve"> </w:t>
      </w:r>
      <w:r w:rsidR="002D5683" w:rsidRPr="00F259E4">
        <w:rPr>
          <w:rFonts w:cstheme="minorHAnsi"/>
          <w:color w:val="000000" w:themeColor="text1"/>
          <w:lang w:eastAsia="en-NZ"/>
        </w:rPr>
        <w:t>complex nature of the electricity market</w:t>
      </w:r>
      <w:r w:rsidR="00E73156" w:rsidRPr="00F259E4">
        <w:rPr>
          <w:rFonts w:cstheme="minorHAnsi"/>
          <w:color w:val="000000" w:themeColor="text1"/>
          <w:lang w:eastAsia="en-NZ"/>
        </w:rPr>
        <w:t xml:space="preserve">, they also </w:t>
      </w:r>
      <w:r w:rsidR="00FC6908" w:rsidRPr="00F259E4">
        <w:rPr>
          <w:rFonts w:cstheme="minorHAnsi"/>
          <w:color w:val="000000" w:themeColor="text1"/>
          <w:lang w:eastAsia="en-NZ"/>
        </w:rPr>
        <w:t xml:space="preserve">feel a sense of distrust that the industry </w:t>
      </w:r>
      <w:r w:rsidR="00E03D5C">
        <w:rPr>
          <w:rFonts w:cstheme="minorHAnsi"/>
          <w:color w:val="000000" w:themeColor="text1"/>
          <w:lang w:eastAsia="en-NZ"/>
        </w:rPr>
        <w:t xml:space="preserve">as a whole </w:t>
      </w:r>
      <w:r w:rsidR="00FC6908" w:rsidRPr="00F259E4">
        <w:rPr>
          <w:rFonts w:cstheme="minorHAnsi"/>
          <w:color w:val="000000" w:themeColor="text1"/>
          <w:lang w:eastAsia="en-NZ"/>
        </w:rPr>
        <w:t>is</w:t>
      </w:r>
      <w:r w:rsidR="000B1785" w:rsidRPr="00F259E4">
        <w:rPr>
          <w:rFonts w:cstheme="minorHAnsi"/>
          <w:color w:val="000000" w:themeColor="text1"/>
          <w:lang w:eastAsia="en-NZ"/>
        </w:rPr>
        <w:t xml:space="preserve"> working to consumers’ best</w:t>
      </w:r>
      <w:r w:rsidR="00817391">
        <w:rPr>
          <w:rFonts w:cstheme="minorHAnsi"/>
          <w:color w:val="000000" w:themeColor="text1"/>
          <w:lang w:eastAsia="en-NZ"/>
        </w:rPr>
        <w:t xml:space="preserve"> </w:t>
      </w:r>
      <w:r w:rsidR="000B1785" w:rsidRPr="00F259E4">
        <w:rPr>
          <w:rFonts w:cstheme="minorHAnsi"/>
          <w:color w:val="000000" w:themeColor="text1"/>
          <w:lang w:eastAsia="en-NZ"/>
        </w:rPr>
        <w:t>advantage</w:t>
      </w:r>
      <w:r w:rsidR="002F24A5" w:rsidRPr="00F259E4">
        <w:rPr>
          <w:rFonts w:cstheme="minorHAnsi"/>
          <w:color w:val="000000" w:themeColor="text1"/>
          <w:lang w:eastAsia="en-NZ"/>
        </w:rPr>
        <w:t xml:space="preserve">. </w:t>
      </w:r>
    </w:p>
    <w:p w14:paraId="468CF29A" w14:textId="30F51D1A" w:rsidR="00CE69D1" w:rsidRPr="001D7428" w:rsidRDefault="00E501F6" w:rsidP="00273087">
      <w:pPr>
        <w:pStyle w:val="ListParagraph"/>
        <w:widowControl w:val="0"/>
        <w:numPr>
          <w:ilvl w:val="0"/>
          <w:numId w:val="7"/>
        </w:numPr>
        <w:ind w:left="851" w:right="-285" w:hanging="425"/>
        <w:contextualSpacing w:val="0"/>
        <w:rPr>
          <w:rFonts w:cstheme="minorHAnsi"/>
          <w:color w:val="000000" w:themeColor="text1"/>
          <w:lang w:eastAsia="en-NZ"/>
        </w:rPr>
      </w:pPr>
      <w:r w:rsidRPr="001D7428">
        <w:rPr>
          <w:rFonts w:cstheme="minorHAnsi"/>
          <w:bCs/>
          <w:color w:val="000000" w:themeColor="text1"/>
          <w:lang w:eastAsia="en-NZ"/>
        </w:rPr>
        <w:t xml:space="preserve">Although not specifically tested in our research, these consumers would </w:t>
      </w:r>
      <w:r w:rsidR="00BA21D0" w:rsidRPr="001D7428">
        <w:rPr>
          <w:rFonts w:cstheme="minorHAnsi"/>
          <w:bCs/>
          <w:color w:val="000000" w:themeColor="text1"/>
          <w:lang w:eastAsia="en-NZ"/>
        </w:rPr>
        <w:t>almost certainly</w:t>
      </w:r>
      <w:r w:rsidRPr="001D7428">
        <w:rPr>
          <w:rFonts w:cstheme="minorHAnsi"/>
          <w:bCs/>
          <w:color w:val="000000" w:themeColor="text1"/>
          <w:lang w:eastAsia="en-NZ"/>
        </w:rPr>
        <w:t xml:space="preserve"> </w:t>
      </w:r>
      <w:r w:rsidR="003D46F0" w:rsidRPr="001D7428">
        <w:rPr>
          <w:rFonts w:cstheme="minorHAnsi"/>
          <w:bCs/>
          <w:color w:val="000000" w:themeColor="text1"/>
          <w:lang w:eastAsia="en-NZ"/>
        </w:rPr>
        <w:t xml:space="preserve">embrace the concept of some </w:t>
      </w:r>
      <w:r w:rsidR="00E61EA0" w:rsidRPr="001D7428">
        <w:rPr>
          <w:rFonts w:cstheme="minorHAnsi"/>
          <w:bCs/>
          <w:color w:val="000000" w:themeColor="text1"/>
          <w:lang w:eastAsia="en-NZ"/>
        </w:rPr>
        <w:t xml:space="preserve">type of </w:t>
      </w:r>
      <w:r w:rsidR="003D46F0" w:rsidRPr="001D7428">
        <w:rPr>
          <w:rFonts w:cstheme="minorHAnsi"/>
          <w:bCs/>
          <w:color w:val="000000" w:themeColor="text1"/>
          <w:lang w:eastAsia="en-NZ"/>
        </w:rPr>
        <w:t>consumer advocacy representative, who</w:t>
      </w:r>
      <w:r w:rsidR="00085CE3" w:rsidRPr="001D7428">
        <w:rPr>
          <w:rFonts w:cstheme="minorHAnsi"/>
          <w:bCs/>
          <w:color w:val="000000" w:themeColor="text1"/>
          <w:lang w:eastAsia="en-NZ"/>
        </w:rPr>
        <w:t xml:space="preserve"> would </w:t>
      </w:r>
      <w:r w:rsidR="00F634FB" w:rsidRPr="001D7428">
        <w:rPr>
          <w:rFonts w:cstheme="minorHAnsi"/>
          <w:bCs/>
          <w:color w:val="000000" w:themeColor="text1"/>
          <w:lang w:eastAsia="en-NZ"/>
        </w:rPr>
        <w:t xml:space="preserve">both </w:t>
      </w:r>
      <w:r w:rsidR="00085CE3" w:rsidRPr="001D7428">
        <w:rPr>
          <w:rFonts w:cstheme="minorHAnsi"/>
          <w:bCs/>
          <w:color w:val="000000" w:themeColor="text1"/>
          <w:lang w:eastAsia="en-NZ"/>
        </w:rPr>
        <w:t xml:space="preserve">understand the details and </w:t>
      </w:r>
      <w:r w:rsidR="008174F5" w:rsidRPr="001D7428">
        <w:rPr>
          <w:rFonts w:cstheme="minorHAnsi"/>
          <w:bCs/>
          <w:color w:val="000000" w:themeColor="text1"/>
          <w:lang w:eastAsia="en-NZ"/>
        </w:rPr>
        <w:t>be trusted to</w:t>
      </w:r>
      <w:r w:rsidR="00085CE3" w:rsidRPr="001D7428">
        <w:rPr>
          <w:rFonts w:cstheme="minorHAnsi"/>
          <w:bCs/>
          <w:color w:val="000000" w:themeColor="text1"/>
          <w:lang w:eastAsia="en-NZ"/>
        </w:rPr>
        <w:t xml:space="preserve"> stand up for their best interests.</w:t>
      </w:r>
    </w:p>
    <w:p w14:paraId="0E972B6A" w14:textId="292DE5F9" w:rsidR="00FA5F44" w:rsidRPr="00F259E4" w:rsidRDefault="0044376F" w:rsidP="00273087">
      <w:pPr>
        <w:pStyle w:val="ListParagraph"/>
        <w:widowControl w:val="0"/>
        <w:numPr>
          <w:ilvl w:val="0"/>
          <w:numId w:val="7"/>
        </w:numPr>
        <w:ind w:left="851" w:hanging="425"/>
        <w:contextualSpacing w:val="0"/>
        <w:rPr>
          <w:rFonts w:cstheme="minorHAnsi"/>
          <w:bCs/>
          <w:color w:val="000000" w:themeColor="text1"/>
          <w:lang w:eastAsia="en-NZ"/>
        </w:rPr>
      </w:pPr>
      <w:r w:rsidRPr="00F259E4">
        <w:rPr>
          <w:rFonts w:cstheme="minorHAnsi"/>
          <w:color w:val="000000" w:themeColor="text1"/>
          <w:lang w:eastAsia="en-NZ"/>
        </w:rPr>
        <w:t>To ensure the consumer voice is captured, i</w:t>
      </w:r>
      <w:r w:rsidR="000F51FC" w:rsidRPr="00F259E4">
        <w:rPr>
          <w:rFonts w:cstheme="minorHAnsi"/>
          <w:color w:val="000000" w:themeColor="text1"/>
          <w:lang w:eastAsia="en-NZ"/>
        </w:rPr>
        <w:t xml:space="preserve">n addition to </w:t>
      </w:r>
      <w:r w:rsidR="00BB58B7" w:rsidRPr="00F259E4">
        <w:rPr>
          <w:rFonts w:cstheme="minorHAnsi"/>
          <w:color w:val="000000" w:themeColor="text1"/>
          <w:lang w:eastAsia="en-NZ"/>
        </w:rPr>
        <w:t xml:space="preserve">their </w:t>
      </w:r>
      <w:r w:rsidR="000F51FC" w:rsidRPr="00F259E4">
        <w:rPr>
          <w:rFonts w:cstheme="minorHAnsi"/>
          <w:color w:val="000000" w:themeColor="text1"/>
          <w:lang w:eastAsia="en-NZ"/>
        </w:rPr>
        <w:t xml:space="preserve">own activity, ENA members have collectively been examining ways to engage more effectively with consumers. </w:t>
      </w:r>
    </w:p>
    <w:p w14:paraId="30C00157" w14:textId="2B6CFA1B" w:rsidR="00023633" w:rsidRPr="00023633" w:rsidRDefault="00023633" w:rsidP="00273087">
      <w:pPr>
        <w:pStyle w:val="ListParagraph"/>
        <w:numPr>
          <w:ilvl w:val="1"/>
          <w:numId w:val="7"/>
        </w:numPr>
        <w:ind w:left="1843" w:hanging="425"/>
        <w:rPr>
          <w:rFonts w:cstheme="minorHAnsi"/>
          <w:color w:val="000000" w:themeColor="text1"/>
          <w:lang w:eastAsia="en-NZ"/>
        </w:rPr>
      </w:pPr>
      <w:r w:rsidRPr="00023633">
        <w:rPr>
          <w:rFonts w:cstheme="minorHAnsi"/>
          <w:color w:val="000000" w:themeColor="text1"/>
          <w:lang w:eastAsia="en-NZ"/>
        </w:rPr>
        <w:t>Members established a Consumer Engagement Working Group</w:t>
      </w:r>
      <w:r w:rsidR="00817391">
        <w:rPr>
          <w:rFonts w:cstheme="minorHAnsi"/>
          <w:color w:val="000000" w:themeColor="text1"/>
          <w:lang w:eastAsia="en-NZ"/>
        </w:rPr>
        <w:t xml:space="preserve">. It </w:t>
      </w:r>
      <w:r w:rsidRPr="00023633">
        <w:rPr>
          <w:rFonts w:cstheme="minorHAnsi"/>
          <w:color w:val="000000" w:themeColor="text1"/>
          <w:lang w:eastAsia="en-NZ"/>
        </w:rPr>
        <w:t xml:space="preserve">has been meeting regularly during the past </w:t>
      </w:r>
      <w:r w:rsidR="00817391">
        <w:rPr>
          <w:rFonts w:cstheme="minorHAnsi"/>
          <w:color w:val="000000" w:themeColor="text1"/>
          <w:lang w:eastAsia="en-NZ"/>
        </w:rPr>
        <w:t>two</w:t>
      </w:r>
      <w:r w:rsidRPr="00023633">
        <w:rPr>
          <w:rFonts w:cstheme="minorHAnsi"/>
          <w:color w:val="000000" w:themeColor="text1"/>
          <w:lang w:eastAsia="en-NZ"/>
        </w:rPr>
        <w:t xml:space="preserve"> years and provides a forum for members to share experiences and knowledge, as well as to work collaboratively. The working group has carried out focus groups and held a Consumer Engagement Panel trial in July 2018 (as mentioned above). All were professionally facilitated by UMR, an independent agency.   </w:t>
      </w:r>
    </w:p>
    <w:p w14:paraId="63B2AE8F" w14:textId="7EFAF78C" w:rsidR="000F51FC" w:rsidRPr="00F259E4" w:rsidRDefault="000F51FC" w:rsidP="00273087">
      <w:pPr>
        <w:pStyle w:val="ListParagraph"/>
        <w:widowControl w:val="0"/>
        <w:numPr>
          <w:ilvl w:val="1"/>
          <w:numId w:val="7"/>
        </w:numPr>
        <w:ind w:left="1843" w:hanging="425"/>
        <w:contextualSpacing w:val="0"/>
        <w:rPr>
          <w:rFonts w:cstheme="minorHAnsi"/>
          <w:bCs/>
          <w:color w:val="000000" w:themeColor="text1"/>
          <w:lang w:eastAsia="en-NZ"/>
        </w:rPr>
      </w:pPr>
      <w:r w:rsidRPr="00F259E4">
        <w:rPr>
          <w:rFonts w:cstheme="minorHAnsi"/>
          <w:color w:val="000000" w:themeColor="text1"/>
          <w:lang w:eastAsia="en-NZ"/>
        </w:rPr>
        <w:t xml:space="preserve">Members who have carried out consumer engagement say it is </w:t>
      </w:r>
      <w:r w:rsidR="00B672FA" w:rsidRPr="00F259E4">
        <w:rPr>
          <w:rFonts w:cstheme="minorHAnsi"/>
          <w:color w:val="000000" w:themeColor="text1"/>
          <w:lang w:eastAsia="en-NZ"/>
        </w:rPr>
        <w:t xml:space="preserve">vital and </w:t>
      </w:r>
      <w:r w:rsidRPr="00F259E4">
        <w:rPr>
          <w:rFonts w:cstheme="minorHAnsi"/>
          <w:color w:val="000000" w:themeColor="text1"/>
          <w:lang w:eastAsia="en-NZ"/>
        </w:rPr>
        <w:t xml:space="preserve"> informing, but also difficult, resource-intensive, and costly. </w:t>
      </w:r>
      <w:r w:rsidR="002C76EA" w:rsidRPr="00F259E4">
        <w:rPr>
          <w:rFonts w:cstheme="minorHAnsi"/>
          <w:color w:val="000000" w:themeColor="text1"/>
          <w:lang w:eastAsia="en-NZ"/>
        </w:rPr>
        <w:t xml:space="preserve">Despite the </w:t>
      </w:r>
      <w:r w:rsidR="000F64BB" w:rsidRPr="00F259E4">
        <w:rPr>
          <w:rFonts w:cstheme="minorHAnsi"/>
          <w:color w:val="000000" w:themeColor="text1"/>
          <w:lang w:eastAsia="en-NZ"/>
        </w:rPr>
        <w:t>hurdle</w:t>
      </w:r>
      <w:r w:rsidR="00605A25" w:rsidRPr="00F259E4">
        <w:rPr>
          <w:rFonts w:cstheme="minorHAnsi"/>
          <w:color w:val="000000" w:themeColor="text1"/>
          <w:lang w:eastAsia="en-NZ"/>
        </w:rPr>
        <w:t>s</w:t>
      </w:r>
      <w:r w:rsidR="002C76EA" w:rsidRPr="00F259E4">
        <w:rPr>
          <w:rFonts w:cstheme="minorHAnsi"/>
          <w:color w:val="000000" w:themeColor="text1"/>
          <w:lang w:eastAsia="en-NZ"/>
        </w:rPr>
        <w:t>, i</w:t>
      </w:r>
      <w:r w:rsidR="00B672FA" w:rsidRPr="00F259E4">
        <w:rPr>
          <w:rFonts w:cstheme="minorHAnsi"/>
          <w:color w:val="000000" w:themeColor="text1"/>
          <w:lang w:eastAsia="en-NZ"/>
        </w:rPr>
        <w:t>n future there will be more engagement.</w:t>
      </w:r>
    </w:p>
    <w:p w14:paraId="2FE9CE74" w14:textId="242D7BF0" w:rsidR="00F76044" w:rsidRPr="00F259E4" w:rsidRDefault="008E7533" w:rsidP="00273087">
      <w:pPr>
        <w:pStyle w:val="ListParagraph"/>
        <w:widowControl w:val="0"/>
        <w:numPr>
          <w:ilvl w:val="0"/>
          <w:numId w:val="7"/>
        </w:numPr>
        <w:spacing w:after="60"/>
        <w:ind w:left="851" w:hanging="425"/>
        <w:contextualSpacing w:val="0"/>
        <w:jc w:val="both"/>
        <w:rPr>
          <w:rFonts w:cstheme="minorHAnsi"/>
          <w:color w:val="000000" w:themeColor="text1"/>
          <w:lang w:eastAsia="en-NZ"/>
        </w:rPr>
      </w:pPr>
      <w:r w:rsidRPr="00F259E4">
        <w:rPr>
          <w:rFonts w:cstheme="minorHAnsi"/>
          <w:color w:val="000000" w:themeColor="text1"/>
          <w:lang w:eastAsia="en-NZ"/>
        </w:rPr>
        <w:t>Elsewhere in the sector</w:t>
      </w:r>
      <w:r w:rsidR="00F76044" w:rsidRPr="00F259E4">
        <w:rPr>
          <w:rFonts w:cstheme="minorHAnsi"/>
          <w:color w:val="000000" w:themeColor="text1"/>
          <w:lang w:eastAsia="en-NZ"/>
        </w:rPr>
        <w:t>:</w:t>
      </w:r>
      <w:r w:rsidR="0090429F" w:rsidRPr="00F259E4">
        <w:rPr>
          <w:rFonts w:cstheme="minorHAnsi"/>
          <w:color w:val="000000" w:themeColor="text1"/>
          <w:lang w:eastAsia="en-NZ"/>
        </w:rPr>
        <w:t xml:space="preserve"> </w:t>
      </w:r>
    </w:p>
    <w:p w14:paraId="58DF808F" w14:textId="02046E3A" w:rsidR="000F51FC" w:rsidRPr="00F259E4" w:rsidRDefault="00F634FB" w:rsidP="00273087">
      <w:pPr>
        <w:pStyle w:val="ListParagraph"/>
        <w:widowControl w:val="0"/>
        <w:numPr>
          <w:ilvl w:val="1"/>
          <w:numId w:val="7"/>
        </w:numPr>
        <w:spacing w:after="60"/>
        <w:ind w:left="1843" w:hanging="425"/>
        <w:contextualSpacing w:val="0"/>
        <w:rPr>
          <w:rFonts w:cstheme="minorHAnsi"/>
          <w:color w:val="000000" w:themeColor="text1"/>
          <w:lang w:eastAsia="en-NZ"/>
        </w:rPr>
      </w:pPr>
      <w:r w:rsidRPr="00F259E4">
        <w:rPr>
          <w:rFonts w:cstheme="minorHAnsi"/>
          <w:color w:val="000000" w:themeColor="text1"/>
          <w:lang w:eastAsia="en-NZ"/>
        </w:rPr>
        <w:t>T</w:t>
      </w:r>
      <w:r w:rsidR="000F51FC" w:rsidRPr="00F259E4">
        <w:rPr>
          <w:rFonts w:cstheme="minorHAnsi"/>
          <w:color w:val="000000" w:themeColor="text1"/>
          <w:lang w:eastAsia="en-NZ"/>
        </w:rPr>
        <w:t xml:space="preserve">he Electricity Authority </w:t>
      </w:r>
      <w:r w:rsidR="00270F44" w:rsidRPr="00F259E4">
        <w:rPr>
          <w:rFonts w:cstheme="minorHAnsi"/>
          <w:color w:val="000000" w:themeColor="text1"/>
          <w:lang w:eastAsia="en-NZ"/>
        </w:rPr>
        <w:t>occasionally</w:t>
      </w:r>
      <w:r w:rsidR="000F51FC" w:rsidRPr="00F259E4">
        <w:rPr>
          <w:rFonts w:cstheme="minorHAnsi"/>
          <w:color w:val="000000" w:themeColor="text1"/>
          <w:lang w:eastAsia="en-NZ"/>
        </w:rPr>
        <w:t xml:space="preserve"> </w:t>
      </w:r>
      <w:r w:rsidR="002C76EA" w:rsidRPr="00F259E4">
        <w:rPr>
          <w:rFonts w:cstheme="minorHAnsi"/>
          <w:color w:val="000000" w:themeColor="text1"/>
          <w:lang w:eastAsia="en-NZ"/>
        </w:rPr>
        <w:t>undertake</w:t>
      </w:r>
      <w:r w:rsidR="00270F44" w:rsidRPr="00F259E4">
        <w:rPr>
          <w:rFonts w:cstheme="minorHAnsi"/>
          <w:color w:val="000000" w:themeColor="text1"/>
          <w:lang w:eastAsia="en-NZ"/>
        </w:rPr>
        <w:t>s</w:t>
      </w:r>
      <w:r w:rsidR="002C76EA" w:rsidRPr="00F259E4">
        <w:rPr>
          <w:rFonts w:cstheme="minorHAnsi"/>
          <w:color w:val="000000" w:themeColor="text1"/>
          <w:lang w:eastAsia="en-NZ"/>
        </w:rPr>
        <w:t xml:space="preserve"> </w:t>
      </w:r>
      <w:r w:rsidR="000F51FC" w:rsidRPr="00F259E4">
        <w:rPr>
          <w:rFonts w:cstheme="minorHAnsi"/>
          <w:color w:val="000000" w:themeColor="text1"/>
          <w:lang w:eastAsia="en-NZ"/>
        </w:rPr>
        <w:t>consumer research</w:t>
      </w:r>
      <w:r w:rsidR="005378D2" w:rsidRPr="00F259E4">
        <w:rPr>
          <w:rFonts w:cstheme="minorHAnsi"/>
          <w:color w:val="000000" w:themeColor="text1"/>
          <w:lang w:eastAsia="en-NZ"/>
        </w:rPr>
        <w:t xml:space="preserve">, but this is typically based around </w:t>
      </w:r>
      <w:r w:rsidR="00F03352" w:rsidRPr="00F259E4">
        <w:rPr>
          <w:rFonts w:cstheme="minorHAnsi"/>
          <w:color w:val="000000" w:themeColor="text1"/>
          <w:lang w:eastAsia="en-NZ"/>
        </w:rPr>
        <w:t xml:space="preserve">on-line </w:t>
      </w:r>
      <w:r w:rsidR="005378D2" w:rsidRPr="00F259E4">
        <w:rPr>
          <w:rFonts w:cstheme="minorHAnsi"/>
          <w:color w:val="000000" w:themeColor="text1"/>
          <w:lang w:eastAsia="en-NZ"/>
        </w:rPr>
        <w:t>surveys r</w:t>
      </w:r>
      <w:r w:rsidR="00CD5462" w:rsidRPr="00F259E4">
        <w:rPr>
          <w:rFonts w:cstheme="minorHAnsi"/>
          <w:color w:val="000000" w:themeColor="text1"/>
          <w:lang w:eastAsia="en-NZ"/>
        </w:rPr>
        <w:t>ather than personal, face-to-face engagement</w:t>
      </w:r>
      <w:r w:rsidR="000F51FC" w:rsidRPr="00F259E4">
        <w:rPr>
          <w:rFonts w:cstheme="minorHAnsi"/>
          <w:color w:val="000000" w:themeColor="text1"/>
          <w:lang w:eastAsia="en-NZ"/>
        </w:rPr>
        <w:t>.</w:t>
      </w:r>
      <w:r w:rsidR="00D6334C" w:rsidRPr="00F259E4">
        <w:rPr>
          <w:rFonts w:cstheme="minorHAnsi"/>
          <w:color w:val="000000" w:themeColor="text1"/>
          <w:lang w:eastAsia="en-NZ"/>
        </w:rPr>
        <w:t xml:space="preserve"> </w:t>
      </w:r>
      <w:r w:rsidR="00CD5462" w:rsidRPr="00F259E4">
        <w:rPr>
          <w:rFonts w:cstheme="minorHAnsi"/>
          <w:color w:val="000000" w:themeColor="text1"/>
          <w:lang w:eastAsia="en-NZ"/>
        </w:rPr>
        <w:t>Typically</w:t>
      </w:r>
      <w:r w:rsidR="00C16E04" w:rsidRPr="00F259E4">
        <w:rPr>
          <w:rFonts w:cstheme="minorHAnsi"/>
          <w:color w:val="000000" w:themeColor="text1"/>
          <w:lang w:eastAsia="en-NZ"/>
        </w:rPr>
        <w:t>,</w:t>
      </w:r>
      <w:r w:rsidR="00D6334C" w:rsidRPr="00F259E4">
        <w:rPr>
          <w:rFonts w:cstheme="minorHAnsi"/>
          <w:color w:val="000000" w:themeColor="text1"/>
          <w:lang w:eastAsia="en-NZ"/>
        </w:rPr>
        <w:t xml:space="preserve"> </w:t>
      </w:r>
      <w:r w:rsidR="00CD5462" w:rsidRPr="00F259E4">
        <w:rPr>
          <w:rFonts w:cstheme="minorHAnsi"/>
          <w:color w:val="000000" w:themeColor="text1"/>
          <w:lang w:eastAsia="en-NZ"/>
        </w:rPr>
        <w:t>its</w:t>
      </w:r>
      <w:r w:rsidR="002C76EA" w:rsidRPr="00F259E4">
        <w:rPr>
          <w:rFonts w:cstheme="minorHAnsi"/>
          <w:color w:val="000000" w:themeColor="text1"/>
          <w:lang w:eastAsia="en-NZ"/>
        </w:rPr>
        <w:t xml:space="preserve"> c</w:t>
      </w:r>
      <w:r w:rsidR="000F51FC" w:rsidRPr="00F259E4">
        <w:rPr>
          <w:rFonts w:cstheme="minorHAnsi"/>
          <w:color w:val="000000" w:themeColor="text1"/>
          <w:lang w:eastAsia="en-NZ"/>
        </w:rPr>
        <w:t xml:space="preserve">onsultations are high-level and technical, with feedback mostly from industry participants and business consumer representatives, rather than small consumers. </w:t>
      </w:r>
    </w:p>
    <w:p w14:paraId="1153DB46" w14:textId="5C082D2A" w:rsidR="000F51FC" w:rsidRPr="00F259E4" w:rsidRDefault="000F51FC" w:rsidP="00273087">
      <w:pPr>
        <w:pStyle w:val="ListParagraph"/>
        <w:widowControl w:val="0"/>
        <w:numPr>
          <w:ilvl w:val="1"/>
          <w:numId w:val="7"/>
        </w:numPr>
        <w:spacing w:after="60"/>
        <w:ind w:left="1843" w:hanging="425"/>
        <w:contextualSpacing w:val="0"/>
        <w:rPr>
          <w:rFonts w:cstheme="minorHAnsi"/>
          <w:color w:val="000000" w:themeColor="text1"/>
          <w:lang w:eastAsia="en-NZ"/>
        </w:rPr>
      </w:pPr>
      <w:r w:rsidRPr="00F259E4">
        <w:rPr>
          <w:rFonts w:cstheme="minorHAnsi"/>
          <w:color w:val="000000" w:themeColor="text1"/>
          <w:lang w:eastAsia="en-NZ"/>
        </w:rPr>
        <w:t xml:space="preserve">The Commerce Commission similarly does not appear to </w:t>
      </w:r>
      <w:r w:rsidR="000962C9" w:rsidRPr="00F259E4">
        <w:rPr>
          <w:rFonts w:cstheme="minorHAnsi"/>
          <w:color w:val="000000" w:themeColor="text1"/>
          <w:lang w:eastAsia="en-NZ"/>
        </w:rPr>
        <w:t xml:space="preserve">have the resources to </w:t>
      </w:r>
      <w:r w:rsidRPr="00F259E4">
        <w:rPr>
          <w:rFonts w:cstheme="minorHAnsi"/>
          <w:color w:val="000000" w:themeColor="text1"/>
          <w:lang w:eastAsia="en-NZ"/>
        </w:rPr>
        <w:t xml:space="preserve">engage successfully with small consumers. It does, however, expect industry associations and individual EDBs to carry out increasing consumer engagement.  </w:t>
      </w:r>
    </w:p>
    <w:p w14:paraId="18643648" w14:textId="77777777" w:rsidR="00726E1E" w:rsidRPr="00F259E4" w:rsidRDefault="0009108C" w:rsidP="00273087">
      <w:pPr>
        <w:pStyle w:val="ListParagraph"/>
        <w:widowControl w:val="0"/>
        <w:numPr>
          <w:ilvl w:val="1"/>
          <w:numId w:val="7"/>
        </w:numPr>
        <w:spacing w:after="60"/>
        <w:ind w:left="1843" w:hanging="425"/>
        <w:contextualSpacing w:val="0"/>
        <w:rPr>
          <w:rFonts w:cstheme="minorHAnsi"/>
          <w:color w:val="000000" w:themeColor="text1"/>
          <w:lang w:eastAsia="en-NZ"/>
        </w:rPr>
      </w:pPr>
      <w:r w:rsidRPr="00F259E4">
        <w:rPr>
          <w:rFonts w:cstheme="minorHAnsi"/>
          <w:color w:val="000000" w:themeColor="text1"/>
          <w:lang w:eastAsia="en-NZ"/>
        </w:rPr>
        <w:t xml:space="preserve">Consumer New Zealand is clearly an advocate for consumers, but it is not sufficiently resourced to satisfy the large and growing requirement for structured consultation with </w:t>
      </w:r>
      <w:r w:rsidR="00F03352" w:rsidRPr="00F259E4">
        <w:rPr>
          <w:rFonts w:cstheme="minorHAnsi"/>
          <w:color w:val="000000" w:themeColor="text1"/>
          <w:lang w:eastAsia="en-NZ"/>
        </w:rPr>
        <w:t xml:space="preserve">electricity </w:t>
      </w:r>
      <w:r w:rsidRPr="00F259E4">
        <w:rPr>
          <w:rFonts w:cstheme="minorHAnsi"/>
          <w:color w:val="000000" w:themeColor="text1"/>
          <w:lang w:eastAsia="en-NZ"/>
        </w:rPr>
        <w:t>consumers.</w:t>
      </w:r>
    </w:p>
    <w:p w14:paraId="00801FE0" w14:textId="3CD09904" w:rsidR="00726E1E" w:rsidRPr="00F259E4" w:rsidRDefault="000F51FC" w:rsidP="00273087">
      <w:pPr>
        <w:pStyle w:val="ListParagraph"/>
        <w:widowControl w:val="0"/>
        <w:numPr>
          <w:ilvl w:val="1"/>
          <w:numId w:val="7"/>
        </w:numPr>
        <w:spacing w:after="60"/>
        <w:ind w:left="1843" w:hanging="425"/>
        <w:contextualSpacing w:val="0"/>
        <w:rPr>
          <w:rFonts w:cstheme="minorHAnsi"/>
          <w:color w:val="000000" w:themeColor="text1"/>
          <w:lang w:eastAsia="en-NZ"/>
        </w:rPr>
      </w:pPr>
      <w:r w:rsidRPr="00F259E4">
        <w:rPr>
          <w:rFonts w:cstheme="minorHAnsi"/>
          <w:color w:val="000000" w:themeColor="text1"/>
          <w:lang w:eastAsia="en-NZ"/>
        </w:rPr>
        <w:t xml:space="preserve">ENA is supportive of </w:t>
      </w:r>
      <w:r w:rsidR="00DD311F" w:rsidRPr="00F259E4">
        <w:rPr>
          <w:rFonts w:cstheme="minorHAnsi"/>
          <w:color w:val="000000" w:themeColor="text1"/>
          <w:lang w:eastAsia="en-NZ"/>
        </w:rPr>
        <w:t>a mechanism</w:t>
      </w:r>
      <w:r w:rsidRPr="00F259E4">
        <w:rPr>
          <w:rFonts w:cstheme="minorHAnsi"/>
          <w:color w:val="000000" w:themeColor="text1"/>
          <w:lang w:eastAsia="en-NZ"/>
        </w:rPr>
        <w:t xml:space="preserve"> </w:t>
      </w:r>
      <w:r w:rsidR="00DD311F" w:rsidRPr="00F259E4">
        <w:rPr>
          <w:rFonts w:cstheme="minorHAnsi"/>
          <w:color w:val="000000" w:themeColor="text1"/>
          <w:lang w:eastAsia="en-NZ"/>
        </w:rPr>
        <w:t>that</w:t>
      </w:r>
      <w:r w:rsidRPr="00F259E4">
        <w:rPr>
          <w:rFonts w:cstheme="minorHAnsi"/>
          <w:color w:val="000000" w:themeColor="text1"/>
          <w:lang w:eastAsia="en-NZ"/>
        </w:rPr>
        <w:t xml:space="preserve"> would give consumers more </w:t>
      </w:r>
      <w:r w:rsidR="00951DC6" w:rsidRPr="00F259E4">
        <w:rPr>
          <w:rFonts w:cstheme="minorHAnsi"/>
          <w:color w:val="000000" w:themeColor="text1"/>
          <w:lang w:eastAsia="en-NZ"/>
        </w:rPr>
        <w:t>of</w:t>
      </w:r>
      <w:r w:rsidR="00150879">
        <w:rPr>
          <w:rFonts w:cstheme="minorHAnsi"/>
          <w:color w:val="000000" w:themeColor="text1"/>
          <w:lang w:eastAsia="en-NZ"/>
        </w:rPr>
        <w:t xml:space="preserve"> </w:t>
      </w:r>
      <w:r w:rsidR="00951DC6" w:rsidRPr="00F259E4">
        <w:rPr>
          <w:rFonts w:cstheme="minorHAnsi"/>
          <w:color w:val="000000" w:themeColor="text1"/>
          <w:lang w:eastAsia="en-NZ"/>
        </w:rPr>
        <w:t>a ‘</w:t>
      </w:r>
      <w:r w:rsidRPr="00F259E4">
        <w:rPr>
          <w:rFonts w:cstheme="minorHAnsi"/>
          <w:color w:val="000000" w:themeColor="text1"/>
          <w:lang w:eastAsia="en-NZ"/>
        </w:rPr>
        <w:t>voice</w:t>
      </w:r>
      <w:r w:rsidR="00951DC6" w:rsidRPr="00F259E4">
        <w:rPr>
          <w:rFonts w:cstheme="minorHAnsi"/>
          <w:color w:val="000000" w:themeColor="text1"/>
          <w:lang w:eastAsia="en-NZ"/>
        </w:rPr>
        <w:t>’</w:t>
      </w:r>
      <w:r w:rsidRPr="00F259E4">
        <w:rPr>
          <w:rFonts w:cstheme="minorHAnsi"/>
          <w:color w:val="000000" w:themeColor="text1"/>
          <w:lang w:eastAsia="en-NZ"/>
        </w:rPr>
        <w:t xml:space="preserve"> in electricity</w:t>
      </w:r>
      <w:r w:rsidR="00283920" w:rsidRPr="00F259E4">
        <w:rPr>
          <w:rFonts w:cstheme="minorHAnsi"/>
          <w:color w:val="000000" w:themeColor="text1"/>
          <w:lang w:eastAsia="en-NZ"/>
        </w:rPr>
        <w:t>,</w:t>
      </w:r>
      <w:r w:rsidR="00DD311F" w:rsidRPr="00F259E4">
        <w:rPr>
          <w:rFonts w:cstheme="minorHAnsi"/>
          <w:color w:val="000000" w:themeColor="text1"/>
          <w:lang w:eastAsia="en-NZ"/>
        </w:rPr>
        <w:t xml:space="preserve"> such as </w:t>
      </w:r>
      <w:r w:rsidRPr="00F259E4">
        <w:rPr>
          <w:rFonts w:cstheme="minorHAnsi"/>
          <w:color w:val="000000" w:themeColor="text1"/>
          <w:lang w:eastAsia="en-NZ"/>
        </w:rPr>
        <w:t>an Electricity Ambassador</w:t>
      </w:r>
      <w:r w:rsidR="00DD311F" w:rsidRPr="00F259E4">
        <w:rPr>
          <w:rFonts w:cstheme="minorHAnsi"/>
          <w:color w:val="000000" w:themeColor="text1"/>
          <w:lang w:eastAsia="en-NZ"/>
        </w:rPr>
        <w:t>.</w:t>
      </w:r>
      <w:r w:rsidR="007C4CEA" w:rsidRPr="00F259E4">
        <w:rPr>
          <w:rFonts w:cstheme="minorHAnsi"/>
          <w:color w:val="000000" w:themeColor="text1"/>
          <w:lang w:eastAsia="en-NZ"/>
        </w:rPr>
        <w:t xml:space="preserve"> We understand that the Electricity Retailers Association of New Zealand (ERANZ) also supports this </w:t>
      </w:r>
      <w:r w:rsidR="0078056C" w:rsidRPr="00F259E4">
        <w:rPr>
          <w:rFonts w:cstheme="minorHAnsi"/>
          <w:color w:val="000000" w:themeColor="text1"/>
          <w:lang w:eastAsia="en-NZ"/>
        </w:rPr>
        <w:t>solution</w:t>
      </w:r>
      <w:r w:rsidR="007C4CEA" w:rsidRPr="00F259E4">
        <w:rPr>
          <w:rFonts w:cstheme="minorHAnsi"/>
          <w:color w:val="000000" w:themeColor="text1"/>
          <w:lang w:eastAsia="en-NZ"/>
        </w:rPr>
        <w:t>.</w:t>
      </w:r>
      <w:r w:rsidRPr="00F259E4">
        <w:rPr>
          <w:rFonts w:cstheme="minorHAnsi"/>
          <w:color w:val="000000" w:themeColor="text1"/>
          <w:lang w:eastAsia="en-NZ"/>
        </w:rPr>
        <w:t xml:space="preserve"> </w:t>
      </w:r>
      <w:r w:rsidR="00E349F3" w:rsidRPr="00F259E4">
        <w:rPr>
          <w:rFonts w:cstheme="minorHAnsi"/>
          <w:color w:val="000000" w:themeColor="text1"/>
          <w:lang w:eastAsia="en-NZ"/>
        </w:rPr>
        <w:t xml:space="preserve"> </w:t>
      </w:r>
    </w:p>
    <w:p w14:paraId="54144DBF" w14:textId="5CB73418" w:rsidR="00304D9A" w:rsidRPr="00F259E4" w:rsidRDefault="00A141D2" w:rsidP="00273087">
      <w:pPr>
        <w:pStyle w:val="ListParagraph"/>
        <w:widowControl w:val="0"/>
        <w:numPr>
          <w:ilvl w:val="0"/>
          <w:numId w:val="7"/>
        </w:numPr>
        <w:spacing w:after="60"/>
        <w:ind w:left="851" w:hanging="425"/>
        <w:contextualSpacing w:val="0"/>
        <w:rPr>
          <w:rFonts w:cstheme="minorHAnsi"/>
          <w:color w:val="000000" w:themeColor="text1"/>
          <w:lang w:eastAsia="en-NZ"/>
        </w:rPr>
      </w:pPr>
      <w:r w:rsidRPr="00F259E4">
        <w:rPr>
          <w:rFonts w:cstheme="minorHAnsi"/>
          <w:color w:val="000000" w:themeColor="text1"/>
          <w:lang w:eastAsia="en-NZ"/>
        </w:rPr>
        <w:t>Finally, ENA would point out that ‘</w:t>
      </w:r>
      <w:r w:rsidR="000F51FC" w:rsidRPr="00F259E4">
        <w:rPr>
          <w:rFonts w:cstheme="minorHAnsi"/>
          <w:color w:val="000000" w:themeColor="text1"/>
          <w:lang w:eastAsia="en-NZ"/>
        </w:rPr>
        <w:t xml:space="preserve">Figure 3, Mechanisms </w:t>
      </w:r>
      <w:r w:rsidR="00013B0D" w:rsidRPr="00F259E4">
        <w:rPr>
          <w:rFonts w:cstheme="minorHAnsi"/>
          <w:color w:val="000000" w:themeColor="text1"/>
          <w:lang w:eastAsia="en-NZ"/>
        </w:rPr>
        <w:t>f</w:t>
      </w:r>
      <w:r w:rsidR="000F51FC" w:rsidRPr="00F259E4">
        <w:rPr>
          <w:rFonts w:cstheme="minorHAnsi"/>
          <w:color w:val="000000" w:themeColor="text1"/>
          <w:lang w:eastAsia="en-NZ"/>
        </w:rPr>
        <w:t>or Consumer Voice</w:t>
      </w:r>
      <w:r w:rsidRPr="00F259E4">
        <w:rPr>
          <w:rFonts w:cstheme="minorHAnsi"/>
          <w:color w:val="000000" w:themeColor="text1"/>
          <w:lang w:eastAsia="en-NZ"/>
        </w:rPr>
        <w:t>’</w:t>
      </w:r>
      <w:r w:rsidR="000F51FC" w:rsidRPr="00F259E4">
        <w:rPr>
          <w:rFonts w:cstheme="minorHAnsi"/>
          <w:color w:val="000000" w:themeColor="text1"/>
          <w:lang w:eastAsia="en-NZ"/>
        </w:rPr>
        <w:t xml:space="preserve"> omits consumer trusts</w:t>
      </w:r>
      <w:r w:rsidR="004469A1" w:rsidRPr="00F259E4">
        <w:rPr>
          <w:rFonts w:cstheme="minorHAnsi"/>
          <w:color w:val="000000" w:themeColor="text1"/>
          <w:lang w:eastAsia="en-NZ"/>
        </w:rPr>
        <w:t>, which are elected by</w:t>
      </w:r>
      <w:r w:rsidR="00013B0D" w:rsidRPr="00F259E4">
        <w:rPr>
          <w:rFonts w:cstheme="minorHAnsi"/>
          <w:color w:val="000000" w:themeColor="text1"/>
          <w:lang w:eastAsia="en-NZ"/>
        </w:rPr>
        <w:t>,</w:t>
      </w:r>
      <w:r w:rsidR="004469A1" w:rsidRPr="00F259E4">
        <w:rPr>
          <w:rFonts w:cstheme="minorHAnsi"/>
          <w:color w:val="000000" w:themeColor="text1"/>
          <w:lang w:eastAsia="en-NZ"/>
        </w:rPr>
        <w:t xml:space="preserve"> and act in the interests of</w:t>
      </w:r>
      <w:r w:rsidR="00013B0D" w:rsidRPr="00F259E4">
        <w:rPr>
          <w:rFonts w:cstheme="minorHAnsi"/>
          <w:color w:val="000000" w:themeColor="text1"/>
          <w:lang w:eastAsia="en-NZ"/>
        </w:rPr>
        <w:t>,</w:t>
      </w:r>
      <w:r w:rsidR="004469A1" w:rsidRPr="00F259E4">
        <w:rPr>
          <w:rFonts w:cstheme="minorHAnsi"/>
          <w:color w:val="000000" w:themeColor="text1"/>
          <w:lang w:eastAsia="en-NZ"/>
        </w:rPr>
        <w:t xml:space="preserve"> consumers.</w:t>
      </w:r>
      <w:r w:rsidR="00B7115C" w:rsidRPr="00F259E4">
        <w:rPr>
          <w:rFonts w:cstheme="minorHAnsi"/>
          <w:color w:val="000000" w:themeColor="text1"/>
          <w:lang w:eastAsia="en-NZ"/>
        </w:rPr>
        <w:t xml:space="preserve"> </w:t>
      </w:r>
    </w:p>
    <w:p w14:paraId="7B565342" w14:textId="77777777" w:rsidR="0048696C" w:rsidRPr="00F259E4" w:rsidRDefault="0048696C" w:rsidP="00C26913">
      <w:pPr>
        <w:widowControl w:val="0"/>
        <w:spacing w:after="60"/>
        <w:jc w:val="both"/>
        <w:rPr>
          <w:rFonts w:cstheme="minorHAnsi"/>
          <w:color w:val="000000" w:themeColor="text1"/>
          <w:lang w:eastAsia="en-NZ"/>
        </w:rPr>
      </w:pPr>
    </w:p>
    <w:p w14:paraId="5A9F113E" w14:textId="77777777" w:rsidR="00012BB4" w:rsidRDefault="00012BB4">
      <w:pPr>
        <w:rPr>
          <w:rFonts w:ascii="Calibri" w:eastAsiaTheme="majorEastAsia" w:hAnsi="Calibri" w:cstheme="majorBidi"/>
          <w:b/>
          <w:bCs/>
          <w:color w:val="00A3DB"/>
          <w:sz w:val="26"/>
          <w:szCs w:val="26"/>
          <w:lang w:eastAsia="en-NZ"/>
        </w:rPr>
      </w:pPr>
      <w:r>
        <w:rPr>
          <w:lang w:eastAsia="en-NZ"/>
        </w:rPr>
        <w:br w:type="page"/>
      </w:r>
    </w:p>
    <w:p w14:paraId="21ED0A35" w14:textId="19FA4A3F" w:rsidR="00C26913" w:rsidRPr="00012BB4" w:rsidRDefault="00C26913" w:rsidP="00012BB4">
      <w:pPr>
        <w:pStyle w:val="Heading2"/>
        <w:rPr>
          <w:lang w:eastAsia="en-NZ"/>
        </w:rPr>
      </w:pPr>
      <w:r w:rsidRPr="00606C55">
        <w:rPr>
          <w:lang w:eastAsia="en-NZ"/>
        </w:rPr>
        <w:lastRenderedPageBreak/>
        <w:t>Recommendation</w:t>
      </w:r>
      <w:r w:rsidR="001B2A31" w:rsidRPr="00606C55">
        <w:rPr>
          <w:lang w:eastAsia="en-NZ"/>
        </w:rPr>
        <w:t xml:space="preserve"> 3.1</w:t>
      </w:r>
      <w:r w:rsidRPr="00606C55">
        <w:rPr>
          <w:lang w:eastAsia="en-NZ"/>
        </w:rPr>
        <w:t>:</w:t>
      </w:r>
      <w:r w:rsidRPr="00F259E4">
        <w:rPr>
          <w:lang w:eastAsia="en-NZ"/>
        </w:rPr>
        <w:t xml:space="preserve"> ENA recommends that </w:t>
      </w:r>
      <w:r w:rsidR="001836E0" w:rsidRPr="00F259E4">
        <w:rPr>
          <w:lang w:eastAsia="en-NZ"/>
        </w:rPr>
        <w:t xml:space="preserve">the </w:t>
      </w:r>
      <w:r w:rsidR="00F66A2B">
        <w:rPr>
          <w:lang w:eastAsia="en-NZ"/>
        </w:rPr>
        <w:t>Panel</w:t>
      </w:r>
      <w:r w:rsidR="001836E0" w:rsidRPr="00F259E4">
        <w:rPr>
          <w:lang w:eastAsia="en-NZ"/>
        </w:rPr>
        <w:t xml:space="preserve"> investigate non-regulatory options for supporting the consumer voice in New Zealand – possibly an </w:t>
      </w:r>
      <w:r w:rsidR="00150879">
        <w:rPr>
          <w:lang w:eastAsia="en-NZ"/>
        </w:rPr>
        <w:t>e</w:t>
      </w:r>
      <w:r w:rsidR="001836E0" w:rsidRPr="00F259E4">
        <w:rPr>
          <w:lang w:eastAsia="en-NZ"/>
        </w:rPr>
        <w:t xml:space="preserve">lectricity </w:t>
      </w:r>
      <w:r w:rsidR="00150879">
        <w:rPr>
          <w:lang w:eastAsia="en-NZ"/>
        </w:rPr>
        <w:t>c</w:t>
      </w:r>
      <w:r w:rsidR="001836E0" w:rsidRPr="00F259E4">
        <w:rPr>
          <w:lang w:eastAsia="en-NZ"/>
        </w:rPr>
        <w:t xml:space="preserve">onsumer </w:t>
      </w:r>
      <w:r w:rsidR="007C4CEA" w:rsidRPr="00F259E4">
        <w:rPr>
          <w:lang w:eastAsia="en-NZ"/>
        </w:rPr>
        <w:t>‘</w:t>
      </w:r>
      <w:r w:rsidR="006F5660">
        <w:rPr>
          <w:lang w:eastAsia="en-NZ"/>
        </w:rPr>
        <w:t>a</w:t>
      </w:r>
      <w:r w:rsidR="001836E0" w:rsidRPr="00F259E4">
        <w:rPr>
          <w:lang w:eastAsia="en-NZ"/>
        </w:rPr>
        <w:t>mbassador</w:t>
      </w:r>
      <w:r w:rsidR="00150879">
        <w:rPr>
          <w:lang w:eastAsia="en-NZ"/>
        </w:rPr>
        <w:t>ial</w:t>
      </w:r>
      <w:r w:rsidR="007C4CEA" w:rsidRPr="00F259E4">
        <w:rPr>
          <w:lang w:eastAsia="en-NZ"/>
        </w:rPr>
        <w:t>’</w:t>
      </w:r>
      <w:r w:rsidR="006F5660">
        <w:rPr>
          <w:lang w:eastAsia="en-NZ"/>
        </w:rPr>
        <w:t xml:space="preserve"> role </w:t>
      </w:r>
      <w:r w:rsidR="001836E0" w:rsidRPr="00F259E4">
        <w:rPr>
          <w:lang w:eastAsia="en-NZ"/>
        </w:rPr>
        <w:t>or similar.</w:t>
      </w:r>
      <w:r w:rsidR="007C4CEA" w:rsidRPr="00F259E4">
        <w:rPr>
          <w:lang w:eastAsia="en-NZ"/>
        </w:rPr>
        <w:t xml:space="preserve"> </w:t>
      </w:r>
    </w:p>
    <w:p w14:paraId="0F6A14EE" w14:textId="77777777" w:rsidR="00304D9A" w:rsidRPr="00F259E4" w:rsidRDefault="00D8044B" w:rsidP="001D7428">
      <w:pPr>
        <w:pStyle w:val="ListParagraph"/>
        <w:widowControl w:val="0"/>
        <w:numPr>
          <w:ilvl w:val="0"/>
          <w:numId w:val="1"/>
        </w:numPr>
        <w:spacing w:after="240"/>
        <w:ind w:left="426" w:hanging="426"/>
        <w:contextualSpacing w:val="0"/>
        <w:rPr>
          <w:rFonts w:cstheme="minorHAnsi"/>
          <w:color w:val="000000" w:themeColor="text1"/>
          <w:lang w:eastAsia="en-NZ"/>
        </w:rPr>
      </w:pPr>
      <w:r w:rsidRPr="00F259E4">
        <w:rPr>
          <w:rFonts w:cstheme="minorHAnsi"/>
          <w:b/>
        </w:rPr>
        <w:t>What are your views on whether consumers trust the electricity sector to look after their interests?</w:t>
      </w:r>
      <w:r w:rsidR="009B560A" w:rsidRPr="00F259E4">
        <w:rPr>
          <w:rFonts w:cstheme="minorHAnsi"/>
          <w:b/>
        </w:rPr>
        <w:t xml:space="preserve"> </w:t>
      </w:r>
    </w:p>
    <w:p w14:paraId="5F678463" w14:textId="34CB5D4B" w:rsidR="00310C36" w:rsidRPr="00F259E4" w:rsidRDefault="00B50DE7" w:rsidP="00273087">
      <w:pPr>
        <w:pStyle w:val="ListParagraph"/>
        <w:widowControl w:val="0"/>
        <w:numPr>
          <w:ilvl w:val="0"/>
          <w:numId w:val="7"/>
        </w:numPr>
        <w:spacing w:after="60"/>
        <w:ind w:left="851" w:hanging="425"/>
        <w:contextualSpacing w:val="0"/>
        <w:jc w:val="both"/>
        <w:rPr>
          <w:rFonts w:cstheme="minorHAnsi"/>
          <w:color w:val="000000" w:themeColor="text1"/>
          <w:lang w:eastAsia="en-NZ"/>
        </w:rPr>
      </w:pPr>
      <w:r w:rsidRPr="00F259E4">
        <w:rPr>
          <w:rFonts w:cstheme="minorHAnsi"/>
          <w:color w:val="000000" w:themeColor="text1"/>
          <w:lang w:eastAsia="en-NZ"/>
        </w:rPr>
        <w:t>With regard to the</w:t>
      </w:r>
      <w:r w:rsidR="0011691A" w:rsidRPr="00F259E4">
        <w:rPr>
          <w:rFonts w:cstheme="minorHAnsi"/>
          <w:color w:val="000000" w:themeColor="text1"/>
          <w:lang w:eastAsia="en-NZ"/>
        </w:rPr>
        <w:t xml:space="preserve"> electr</w:t>
      </w:r>
      <w:r w:rsidR="00B53EBF" w:rsidRPr="00F259E4">
        <w:rPr>
          <w:rFonts w:cstheme="minorHAnsi"/>
          <w:color w:val="000000" w:themeColor="text1"/>
          <w:lang w:eastAsia="en-NZ"/>
        </w:rPr>
        <w:t>i</w:t>
      </w:r>
      <w:r w:rsidR="0011691A" w:rsidRPr="00F259E4">
        <w:rPr>
          <w:rFonts w:cstheme="minorHAnsi"/>
          <w:color w:val="000000" w:themeColor="text1"/>
          <w:lang w:eastAsia="en-NZ"/>
        </w:rPr>
        <w:t>city</w:t>
      </w:r>
      <w:r w:rsidR="00B53EBF" w:rsidRPr="00F259E4">
        <w:rPr>
          <w:rFonts w:cstheme="minorHAnsi"/>
          <w:color w:val="000000" w:themeColor="text1"/>
          <w:lang w:eastAsia="en-NZ"/>
        </w:rPr>
        <w:t xml:space="preserve"> sector as a whole, </w:t>
      </w:r>
      <w:r w:rsidR="008641D1" w:rsidRPr="00F259E4">
        <w:rPr>
          <w:rFonts w:cstheme="minorHAnsi"/>
          <w:color w:val="000000" w:themeColor="text1"/>
          <w:lang w:eastAsia="en-NZ"/>
        </w:rPr>
        <w:t xml:space="preserve">as evidenced by our own consumer research, </w:t>
      </w:r>
      <w:r w:rsidR="00B53EBF" w:rsidRPr="00F259E4">
        <w:rPr>
          <w:rFonts w:cstheme="minorHAnsi"/>
          <w:color w:val="000000" w:themeColor="text1"/>
          <w:lang w:eastAsia="en-NZ"/>
        </w:rPr>
        <w:t>there i</w:t>
      </w:r>
      <w:r w:rsidR="008727FB" w:rsidRPr="00F259E4">
        <w:rPr>
          <w:rFonts w:cstheme="minorHAnsi"/>
          <w:color w:val="000000" w:themeColor="text1"/>
          <w:lang w:eastAsia="en-NZ"/>
        </w:rPr>
        <w:t xml:space="preserve">s </w:t>
      </w:r>
      <w:r w:rsidR="00B53EBF" w:rsidRPr="00F259E4">
        <w:rPr>
          <w:rFonts w:cstheme="minorHAnsi"/>
          <w:color w:val="000000" w:themeColor="text1"/>
          <w:lang w:eastAsia="en-NZ"/>
        </w:rPr>
        <w:t>mistrust that the sector is</w:t>
      </w:r>
      <w:r w:rsidR="00697091" w:rsidRPr="00F259E4">
        <w:rPr>
          <w:rFonts w:cstheme="minorHAnsi"/>
          <w:color w:val="000000" w:themeColor="text1"/>
          <w:lang w:eastAsia="en-NZ"/>
        </w:rPr>
        <w:t xml:space="preserve"> acting </w:t>
      </w:r>
      <w:r w:rsidR="008727FB" w:rsidRPr="00F259E4">
        <w:rPr>
          <w:rFonts w:cstheme="minorHAnsi"/>
          <w:color w:val="000000" w:themeColor="text1"/>
          <w:lang w:eastAsia="en-NZ"/>
        </w:rPr>
        <w:t>in</w:t>
      </w:r>
      <w:r w:rsidR="00697091" w:rsidRPr="00F259E4">
        <w:rPr>
          <w:rFonts w:cstheme="minorHAnsi"/>
          <w:color w:val="000000" w:themeColor="text1"/>
          <w:lang w:eastAsia="en-NZ"/>
        </w:rPr>
        <w:t xml:space="preserve"> the interests of co</w:t>
      </w:r>
      <w:r w:rsidR="00310C36" w:rsidRPr="00F259E4">
        <w:rPr>
          <w:rFonts w:cstheme="minorHAnsi"/>
          <w:color w:val="000000" w:themeColor="text1"/>
          <w:lang w:eastAsia="en-NZ"/>
        </w:rPr>
        <w:t>n</w:t>
      </w:r>
      <w:r w:rsidR="00697091" w:rsidRPr="00F259E4">
        <w:rPr>
          <w:rFonts w:cstheme="minorHAnsi"/>
          <w:color w:val="000000" w:themeColor="text1"/>
          <w:lang w:eastAsia="en-NZ"/>
        </w:rPr>
        <w:t xml:space="preserve">sumers. This is most evident </w:t>
      </w:r>
      <w:r w:rsidR="00310C36" w:rsidRPr="00F259E4">
        <w:rPr>
          <w:rFonts w:cstheme="minorHAnsi"/>
          <w:color w:val="000000" w:themeColor="text1"/>
          <w:lang w:eastAsia="en-NZ"/>
        </w:rPr>
        <w:t>with</w:t>
      </w:r>
      <w:r w:rsidR="00697091" w:rsidRPr="00F259E4">
        <w:rPr>
          <w:rFonts w:cstheme="minorHAnsi"/>
          <w:color w:val="000000" w:themeColor="text1"/>
          <w:lang w:eastAsia="en-NZ"/>
        </w:rPr>
        <w:t xml:space="preserve"> </w:t>
      </w:r>
      <w:r w:rsidR="00310C36" w:rsidRPr="00F259E4">
        <w:rPr>
          <w:rFonts w:cstheme="minorHAnsi"/>
          <w:color w:val="000000" w:themeColor="text1"/>
          <w:lang w:eastAsia="en-NZ"/>
        </w:rPr>
        <w:t>res</w:t>
      </w:r>
      <w:r w:rsidR="008A37A0" w:rsidRPr="00F259E4">
        <w:rPr>
          <w:rFonts w:cstheme="minorHAnsi"/>
          <w:color w:val="000000" w:themeColor="text1"/>
          <w:lang w:eastAsia="en-NZ"/>
        </w:rPr>
        <w:t>pect to</w:t>
      </w:r>
      <w:r w:rsidR="00310C36" w:rsidRPr="00F259E4">
        <w:rPr>
          <w:rFonts w:cstheme="minorHAnsi"/>
          <w:color w:val="000000" w:themeColor="text1"/>
          <w:lang w:eastAsia="en-NZ"/>
        </w:rPr>
        <w:t xml:space="preserve"> </w:t>
      </w:r>
      <w:r w:rsidR="00770D20" w:rsidRPr="00F259E4">
        <w:rPr>
          <w:rFonts w:cstheme="minorHAnsi"/>
          <w:color w:val="000000" w:themeColor="text1"/>
          <w:lang w:eastAsia="en-NZ"/>
        </w:rPr>
        <w:t xml:space="preserve">considerations of </w:t>
      </w:r>
      <w:r w:rsidR="00310C36" w:rsidRPr="00F259E4">
        <w:rPr>
          <w:rFonts w:cstheme="minorHAnsi"/>
          <w:color w:val="000000" w:themeColor="text1"/>
          <w:lang w:eastAsia="en-NZ"/>
        </w:rPr>
        <w:t xml:space="preserve">price and </w:t>
      </w:r>
      <w:r w:rsidR="008A37A0" w:rsidRPr="00F259E4">
        <w:rPr>
          <w:rFonts w:cstheme="minorHAnsi"/>
          <w:color w:val="000000" w:themeColor="text1"/>
          <w:lang w:eastAsia="en-NZ"/>
        </w:rPr>
        <w:t xml:space="preserve">corporate </w:t>
      </w:r>
      <w:r w:rsidR="00310C36" w:rsidRPr="00F259E4">
        <w:rPr>
          <w:rFonts w:cstheme="minorHAnsi"/>
          <w:color w:val="000000" w:themeColor="text1"/>
          <w:lang w:eastAsia="en-NZ"/>
        </w:rPr>
        <w:t>earnings.</w:t>
      </w:r>
    </w:p>
    <w:p w14:paraId="62C0928E" w14:textId="30914AF6" w:rsidR="00310C36" w:rsidRPr="00F259E4" w:rsidRDefault="00EE6BDD" w:rsidP="00273087">
      <w:pPr>
        <w:pStyle w:val="ListParagraph"/>
        <w:keepNext/>
        <w:widowControl w:val="0"/>
        <w:numPr>
          <w:ilvl w:val="0"/>
          <w:numId w:val="34"/>
        </w:numPr>
        <w:spacing w:after="60"/>
        <w:ind w:left="851" w:hanging="425"/>
        <w:contextualSpacing w:val="0"/>
        <w:jc w:val="both"/>
        <w:rPr>
          <w:rFonts w:cstheme="minorHAnsi"/>
          <w:bCs/>
          <w:color w:val="000000" w:themeColor="text1"/>
          <w:lang w:eastAsia="en-NZ"/>
        </w:rPr>
      </w:pPr>
      <w:r w:rsidRPr="00F259E4">
        <w:rPr>
          <w:rFonts w:cstheme="minorHAnsi"/>
          <w:bCs/>
          <w:color w:val="000000" w:themeColor="text1"/>
          <w:lang w:eastAsia="en-NZ"/>
        </w:rPr>
        <w:t>Specifically, however, in relation to EDBs</w:t>
      </w:r>
      <w:r w:rsidR="006C4F5D" w:rsidRPr="00F259E4">
        <w:rPr>
          <w:rFonts w:cstheme="minorHAnsi"/>
          <w:bCs/>
          <w:color w:val="000000" w:themeColor="text1"/>
          <w:lang w:eastAsia="en-NZ"/>
        </w:rPr>
        <w:t xml:space="preserve"> there is a greater level of trust that the </w:t>
      </w:r>
      <w:r w:rsidR="00F8613B" w:rsidRPr="00F259E4">
        <w:rPr>
          <w:rFonts w:cstheme="minorHAnsi"/>
          <w:bCs/>
          <w:color w:val="000000" w:themeColor="text1"/>
          <w:lang w:eastAsia="en-NZ"/>
        </w:rPr>
        <w:t xml:space="preserve">local </w:t>
      </w:r>
      <w:r w:rsidR="006C4F5D" w:rsidRPr="00F259E4">
        <w:rPr>
          <w:rFonts w:cstheme="minorHAnsi"/>
          <w:bCs/>
          <w:color w:val="000000" w:themeColor="text1"/>
          <w:lang w:eastAsia="en-NZ"/>
        </w:rPr>
        <w:t>network</w:t>
      </w:r>
      <w:r w:rsidR="00F8613B" w:rsidRPr="00F259E4">
        <w:rPr>
          <w:rFonts w:cstheme="minorHAnsi"/>
          <w:bCs/>
          <w:color w:val="000000" w:themeColor="text1"/>
          <w:lang w:eastAsia="en-NZ"/>
        </w:rPr>
        <w:t xml:space="preserve"> o</w:t>
      </w:r>
      <w:r w:rsidR="007C1EC5" w:rsidRPr="00F259E4">
        <w:rPr>
          <w:rFonts w:cstheme="minorHAnsi"/>
          <w:bCs/>
          <w:color w:val="000000" w:themeColor="text1"/>
          <w:lang w:eastAsia="en-NZ"/>
        </w:rPr>
        <w:t>peration</w:t>
      </w:r>
      <w:r w:rsidR="006C4F5D" w:rsidRPr="00F259E4">
        <w:rPr>
          <w:rFonts w:cstheme="minorHAnsi"/>
          <w:bCs/>
          <w:color w:val="000000" w:themeColor="text1"/>
          <w:lang w:eastAsia="en-NZ"/>
        </w:rPr>
        <w:t xml:space="preserve"> is looking after the interests of consumers in terms of reliability, safety and resilience.</w:t>
      </w:r>
    </w:p>
    <w:p w14:paraId="7575473A" w14:textId="075605A7" w:rsidR="00BB3BBA" w:rsidRPr="00F259E4" w:rsidRDefault="00BB3BBA" w:rsidP="00273087">
      <w:pPr>
        <w:pStyle w:val="ListParagraph"/>
        <w:keepNext/>
        <w:widowControl w:val="0"/>
        <w:numPr>
          <w:ilvl w:val="0"/>
          <w:numId w:val="34"/>
        </w:numPr>
        <w:spacing w:after="0"/>
        <w:ind w:left="850" w:hanging="425"/>
        <w:contextualSpacing w:val="0"/>
        <w:jc w:val="both"/>
        <w:rPr>
          <w:rFonts w:cstheme="minorHAnsi"/>
          <w:bCs/>
          <w:color w:val="000000" w:themeColor="text1"/>
          <w:lang w:eastAsia="en-NZ"/>
        </w:rPr>
      </w:pPr>
      <w:r w:rsidRPr="00F259E4">
        <w:rPr>
          <w:rFonts w:cstheme="minorHAnsi"/>
          <w:bCs/>
          <w:color w:val="000000" w:themeColor="text1"/>
          <w:lang w:eastAsia="en-NZ"/>
        </w:rPr>
        <w:t xml:space="preserve">Particularly in terms of recovery from storm events and </w:t>
      </w:r>
      <w:r w:rsidR="000F269B" w:rsidRPr="00F259E4">
        <w:rPr>
          <w:rFonts w:cstheme="minorHAnsi"/>
          <w:bCs/>
          <w:color w:val="000000" w:themeColor="text1"/>
          <w:lang w:eastAsia="en-NZ"/>
        </w:rPr>
        <w:t>ot</w:t>
      </w:r>
      <w:r w:rsidR="00833BF5" w:rsidRPr="00F259E4">
        <w:rPr>
          <w:rFonts w:cstheme="minorHAnsi"/>
          <w:bCs/>
          <w:color w:val="000000" w:themeColor="text1"/>
          <w:lang w:eastAsia="en-NZ"/>
        </w:rPr>
        <w:t xml:space="preserve">her </w:t>
      </w:r>
      <w:r w:rsidRPr="00F259E4">
        <w:rPr>
          <w:rFonts w:cstheme="minorHAnsi"/>
          <w:bCs/>
          <w:color w:val="000000" w:themeColor="text1"/>
          <w:lang w:eastAsia="en-NZ"/>
        </w:rPr>
        <w:t xml:space="preserve">outages, there is often much trust and goodwill generated when consumers see maintenance crews working </w:t>
      </w:r>
      <w:r w:rsidR="007C1EC5" w:rsidRPr="00F259E4">
        <w:rPr>
          <w:rFonts w:cstheme="minorHAnsi"/>
          <w:bCs/>
          <w:color w:val="000000" w:themeColor="text1"/>
          <w:lang w:eastAsia="en-NZ"/>
        </w:rPr>
        <w:t xml:space="preserve">through the night </w:t>
      </w:r>
      <w:r w:rsidRPr="00F259E4">
        <w:rPr>
          <w:rFonts w:cstheme="minorHAnsi"/>
          <w:bCs/>
          <w:color w:val="000000" w:themeColor="text1"/>
          <w:lang w:eastAsia="en-NZ"/>
        </w:rPr>
        <w:t>in atrocious weather to restore lines.</w:t>
      </w:r>
    </w:p>
    <w:p w14:paraId="1AEBCF87" w14:textId="77777777" w:rsidR="00B15310" w:rsidRPr="00F259E4" w:rsidRDefault="00B15310" w:rsidP="00803302">
      <w:pPr>
        <w:pStyle w:val="ListParagraph"/>
        <w:widowControl w:val="0"/>
        <w:spacing w:after="60"/>
        <w:contextualSpacing w:val="0"/>
        <w:jc w:val="both"/>
        <w:rPr>
          <w:rFonts w:cstheme="minorHAnsi"/>
          <w:bCs/>
          <w:color w:val="000000" w:themeColor="text1"/>
          <w:lang w:eastAsia="en-NZ"/>
        </w:rPr>
      </w:pPr>
    </w:p>
    <w:p w14:paraId="01FB4E68" w14:textId="1FFA74C7" w:rsidR="001357E3" w:rsidRPr="00F259E4" w:rsidRDefault="000023CA" w:rsidP="001D7428">
      <w:pPr>
        <w:pStyle w:val="ListParagraph"/>
        <w:widowControl w:val="0"/>
        <w:numPr>
          <w:ilvl w:val="0"/>
          <w:numId w:val="1"/>
        </w:numPr>
        <w:ind w:left="426" w:hanging="426"/>
        <w:contextualSpacing w:val="0"/>
        <w:jc w:val="both"/>
        <w:rPr>
          <w:rFonts w:cstheme="minorHAnsi"/>
          <w:b/>
          <w:color w:val="000000" w:themeColor="text1"/>
          <w:lang w:eastAsia="en-NZ"/>
        </w:rPr>
      </w:pPr>
      <w:r w:rsidRPr="00F259E4">
        <w:rPr>
          <w:rStyle w:val="Strong"/>
          <w:rFonts w:cstheme="minorHAnsi"/>
          <w:i w:val="0"/>
          <w:color w:val="000000" w:themeColor="text1"/>
          <w:sz w:val="22"/>
          <w:szCs w:val="22"/>
        </w:rPr>
        <w:t>What are your views on the assessment of the make-up of recent price changes</w:t>
      </w:r>
      <w:r w:rsidR="008D1C4E">
        <w:rPr>
          <w:rStyle w:val="Strong"/>
          <w:rFonts w:cstheme="minorHAnsi"/>
          <w:i w:val="0"/>
          <w:color w:val="000000" w:themeColor="text1"/>
          <w:sz w:val="22"/>
          <w:szCs w:val="22"/>
        </w:rPr>
        <w:t>?</w:t>
      </w:r>
    </w:p>
    <w:p w14:paraId="4ECC367F" w14:textId="41E8FF5B" w:rsidR="003F2C43" w:rsidRPr="002649BF" w:rsidRDefault="003F2C43" w:rsidP="001D7428">
      <w:pPr>
        <w:pStyle w:val="ListParagraph"/>
        <w:widowControl w:val="0"/>
        <w:numPr>
          <w:ilvl w:val="0"/>
          <w:numId w:val="2"/>
        </w:numPr>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The </w:t>
      </w:r>
      <w:r w:rsidR="001C1E0B">
        <w:rPr>
          <w:rFonts w:cstheme="minorHAnsi"/>
          <w:color w:val="000000" w:themeColor="text1"/>
          <w:lang w:eastAsia="en-NZ"/>
        </w:rPr>
        <w:t>P</w:t>
      </w:r>
      <w:r w:rsidRPr="00F259E4">
        <w:rPr>
          <w:rFonts w:cstheme="minorHAnsi"/>
          <w:color w:val="000000" w:themeColor="text1"/>
          <w:lang w:eastAsia="en-NZ"/>
        </w:rPr>
        <w:t xml:space="preserve">anel has chosen to examine price trends </w:t>
      </w:r>
      <w:r w:rsidR="0074765B" w:rsidRPr="00F259E4">
        <w:rPr>
          <w:rFonts w:cstheme="minorHAnsi"/>
          <w:color w:val="000000" w:themeColor="text1"/>
          <w:lang w:eastAsia="en-NZ"/>
        </w:rPr>
        <w:t xml:space="preserve">going </w:t>
      </w:r>
      <w:r w:rsidRPr="00F259E4">
        <w:rPr>
          <w:rFonts w:cstheme="minorHAnsi"/>
          <w:color w:val="000000" w:themeColor="text1"/>
          <w:lang w:eastAsia="en-NZ"/>
        </w:rPr>
        <w:t>back to 1990</w:t>
      </w:r>
      <w:r w:rsidR="00FC30EA" w:rsidRPr="00F259E4">
        <w:rPr>
          <w:rFonts w:cstheme="minorHAnsi"/>
          <w:color w:val="000000" w:themeColor="text1"/>
          <w:lang w:eastAsia="en-NZ"/>
        </w:rPr>
        <w:t xml:space="preserve"> although t</w:t>
      </w:r>
      <w:r w:rsidRPr="00F259E4">
        <w:rPr>
          <w:rFonts w:cstheme="minorHAnsi"/>
          <w:color w:val="000000" w:themeColor="text1"/>
          <w:lang w:eastAsia="en-NZ"/>
        </w:rPr>
        <w:t>he electricity sector underwent considerable change in the</w:t>
      </w:r>
      <w:r w:rsidR="00FC30EA" w:rsidRPr="00F259E4">
        <w:rPr>
          <w:rFonts w:cstheme="minorHAnsi"/>
          <w:color w:val="000000" w:themeColor="text1"/>
          <w:lang w:eastAsia="en-NZ"/>
        </w:rPr>
        <w:t xml:space="preserve"> </w:t>
      </w:r>
      <w:r w:rsidRPr="00F259E4">
        <w:rPr>
          <w:rFonts w:cstheme="minorHAnsi"/>
          <w:color w:val="000000" w:themeColor="text1"/>
          <w:lang w:eastAsia="en-NZ"/>
        </w:rPr>
        <w:t>90s. This makes data comparison</w:t>
      </w:r>
      <w:r w:rsidR="0074765B" w:rsidRPr="00F259E4">
        <w:rPr>
          <w:rFonts w:cstheme="minorHAnsi"/>
          <w:color w:val="000000" w:themeColor="text1"/>
          <w:lang w:eastAsia="en-NZ"/>
        </w:rPr>
        <w:t>s</w:t>
      </w:r>
      <w:r w:rsidRPr="00F259E4">
        <w:rPr>
          <w:rFonts w:cstheme="minorHAnsi"/>
          <w:color w:val="000000" w:themeColor="text1"/>
          <w:lang w:eastAsia="en-NZ"/>
        </w:rPr>
        <w:t xml:space="preserve"> difficult</w:t>
      </w:r>
      <w:r w:rsidR="007B43B4">
        <w:rPr>
          <w:rFonts w:cstheme="minorHAnsi"/>
          <w:color w:val="000000" w:themeColor="text1"/>
          <w:lang w:eastAsia="en-NZ"/>
        </w:rPr>
        <w:t xml:space="preserve">, </w:t>
      </w:r>
      <w:r w:rsidRPr="00F259E4">
        <w:rPr>
          <w:rFonts w:cstheme="minorHAnsi"/>
          <w:color w:val="000000" w:themeColor="text1"/>
          <w:lang w:eastAsia="en-NZ"/>
        </w:rPr>
        <w:t>unreliable</w:t>
      </w:r>
      <w:r w:rsidR="007B43B4">
        <w:rPr>
          <w:rFonts w:cstheme="minorHAnsi"/>
          <w:color w:val="000000" w:themeColor="text1"/>
          <w:lang w:eastAsia="en-NZ"/>
        </w:rPr>
        <w:t>, and inappropriate</w:t>
      </w:r>
      <w:r w:rsidRPr="00F259E4">
        <w:rPr>
          <w:rFonts w:cstheme="minorHAnsi"/>
          <w:color w:val="000000" w:themeColor="text1"/>
          <w:lang w:eastAsia="en-NZ"/>
        </w:rPr>
        <w:t>.</w:t>
      </w:r>
    </w:p>
    <w:p w14:paraId="4F513F4A" w14:textId="77777777" w:rsidR="00B72E0C" w:rsidRPr="00B72E0C" w:rsidRDefault="003F2C43" w:rsidP="001D7428">
      <w:pPr>
        <w:pStyle w:val="ListParagraph"/>
        <w:widowControl w:val="0"/>
        <w:numPr>
          <w:ilvl w:val="0"/>
          <w:numId w:val="2"/>
        </w:numPr>
        <w:ind w:left="851" w:hanging="425"/>
        <w:contextualSpacing w:val="0"/>
        <w:rPr>
          <w:rFonts w:cstheme="minorHAnsi"/>
          <w:bCs/>
          <w:color w:val="000000" w:themeColor="text1"/>
          <w:lang w:eastAsia="en-NZ"/>
        </w:rPr>
      </w:pPr>
      <w:r w:rsidRPr="002649BF">
        <w:rPr>
          <w:rFonts w:cstheme="minorHAnsi"/>
          <w:color w:val="000000" w:themeColor="text1"/>
          <w:lang w:eastAsia="en-NZ"/>
        </w:rPr>
        <w:t>In 1990, electricity companies were municipal electricity departments or power boards (integrated retailer and distributor model). These entities did not accurately allocate their costs to distribution and energy components as they were lumped together in one bill to the consumer.</w:t>
      </w:r>
    </w:p>
    <w:p w14:paraId="0B538EAA" w14:textId="0015C83E" w:rsidR="003F2C43" w:rsidRPr="00B86C9C" w:rsidRDefault="00B72E0C" w:rsidP="001D7428">
      <w:pPr>
        <w:pStyle w:val="ListParagraph"/>
        <w:widowControl w:val="0"/>
        <w:numPr>
          <w:ilvl w:val="0"/>
          <w:numId w:val="2"/>
        </w:numPr>
        <w:ind w:left="851" w:hanging="425"/>
        <w:contextualSpacing w:val="0"/>
        <w:rPr>
          <w:rFonts w:cstheme="minorHAnsi"/>
          <w:bCs/>
          <w:color w:val="000000" w:themeColor="text1"/>
          <w:lang w:eastAsia="en-NZ"/>
        </w:rPr>
      </w:pPr>
      <w:r w:rsidRPr="00B86C9C">
        <w:rPr>
          <w:rFonts w:cstheme="minorHAnsi"/>
          <w:color w:val="000000" w:themeColor="text1"/>
          <w:lang w:eastAsia="en-NZ"/>
        </w:rPr>
        <w:t xml:space="preserve">Moreover, the operating model at the time involved significant transfers of costs and risks to taxpayers. MEDs and </w:t>
      </w:r>
      <w:r w:rsidR="00AE2C00">
        <w:rPr>
          <w:rFonts w:cstheme="minorHAnsi"/>
          <w:color w:val="000000" w:themeColor="text1"/>
          <w:lang w:eastAsia="en-NZ"/>
        </w:rPr>
        <w:t>p</w:t>
      </w:r>
      <w:r w:rsidRPr="00B86C9C">
        <w:rPr>
          <w:rFonts w:cstheme="minorHAnsi"/>
          <w:color w:val="000000" w:themeColor="text1"/>
          <w:lang w:eastAsia="en-NZ"/>
        </w:rPr>
        <w:t xml:space="preserve">ower </w:t>
      </w:r>
      <w:r w:rsidR="00AE2C00">
        <w:rPr>
          <w:rFonts w:cstheme="minorHAnsi"/>
          <w:color w:val="000000" w:themeColor="text1"/>
          <w:lang w:eastAsia="en-NZ"/>
        </w:rPr>
        <w:t>b</w:t>
      </w:r>
      <w:r w:rsidRPr="00B86C9C">
        <w:rPr>
          <w:rFonts w:cstheme="minorHAnsi"/>
          <w:color w:val="000000" w:themeColor="text1"/>
          <w:lang w:eastAsia="en-NZ"/>
        </w:rPr>
        <w:t>oards did not operate commercially and rate-payers, commercial and industrial customers subsidised residential power prices.  Comparing prices now to those in 1990 would involve a significantly more sophisticated analysis taking those factors into account.</w:t>
      </w:r>
    </w:p>
    <w:p w14:paraId="0FDC411E" w14:textId="2355A4E9" w:rsidR="003F2C43" w:rsidRPr="00F259E4" w:rsidRDefault="003F2C43" w:rsidP="001D7428">
      <w:pPr>
        <w:pStyle w:val="ListParagraph"/>
        <w:widowControl w:val="0"/>
        <w:numPr>
          <w:ilvl w:val="0"/>
          <w:numId w:val="2"/>
        </w:numPr>
        <w:spacing w:after="60"/>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We </w:t>
      </w:r>
      <w:r w:rsidR="005428A5" w:rsidRPr="00F259E4">
        <w:rPr>
          <w:rFonts w:cstheme="minorHAnsi"/>
          <w:color w:val="000000" w:themeColor="text1"/>
          <w:lang w:eastAsia="en-NZ"/>
        </w:rPr>
        <w:t>dispute</w:t>
      </w:r>
      <w:r w:rsidRPr="00F259E4">
        <w:rPr>
          <w:rFonts w:cstheme="minorHAnsi"/>
          <w:color w:val="000000" w:themeColor="text1"/>
          <w:lang w:eastAsia="en-NZ"/>
        </w:rPr>
        <w:t xml:space="preserve"> the </w:t>
      </w:r>
      <w:r w:rsidR="008D1C4E">
        <w:rPr>
          <w:rFonts w:cstheme="minorHAnsi"/>
          <w:color w:val="000000" w:themeColor="text1"/>
          <w:lang w:eastAsia="en-NZ"/>
        </w:rPr>
        <w:t>P</w:t>
      </w:r>
      <w:r w:rsidRPr="00F259E4">
        <w:rPr>
          <w:rFonts w:cstheme="minorHAnsi"/>
          <w:color w:val="000000" w:themeColor="text1"/>
          <w:lang w:eastAsia="en-NZ"/>
        </w:rPr>
        <w:t xml:space="preserve">anel’s view that distribution charges rose 548% between 1990 and 2018. Data from 1990 is not accurate and, as stated above, electricity suppliers were vastly different back then. ENA believes that the </w:t>
      </w:r>
      <w:r w:rsidR="00F66A2B">
        <w:rPr>
          <w:rFonts w:cstheme="minorHAnsi"/>
          <w:color w:val="000000" w:themeColor="text1"/>
          <w:lang w:eastAsia="en-NZ"/>
        </w:rPr>
        <w:t>Panel</w:t>
      </w:r>
      <w:r w:rsidRPr="00F259E4">
        <w:rPr>
          <w:rFonts w:cstheme="minorHAnsi"/>
          <w:color w:val="000000" w:themeColor="text1"/>
          <w:lang w:eastAsia="en-NZ"/>
        </w:rPr>
        <w:t xml:space="preserve"> </w:t>
      </w:r>
      <w:r w:rsidR="00367844" w:rsidRPr="00F259E4">
        <w:rPr>
          <w:rFonts w:cstheme="minorHAnsi"/>
          <w:color w:val="000000" w:themeColor="text1"/>
          <w:lang w:eastAsia="en-NZ"/>
        </w:rPr>
        <w:t xml:space="preserve">would have been better to </w:t>
      </w:r>
      <w:r w:rsidRPr="00F259E4">
        <w:rPr>
          <w:rFonts w:cstheme="minorHAnsi"/>
          <w:color w:val="000000" w:themeColor="text1"/>
          <w:lang w:eastAsia="en-NZ"/>
        </w:rPr>
        <w:t>focus its data analysis from 2000.</w:t>
      </w:r>
    </w:p>
    <w:p w14:paraId="0FBAC616" w14:textId="03F71226" w:rsidR="003F2C43" w:rsidRPr="00F259E4" w:rsidRDefault="003F2C43" w:rsidP="001D7428">
      <w:pPr>
        <w:pStyle w:val="ListParagraph"/>
        <w:widowControl w:val="0"/>
        <w:numPr>
          <w:ilvl w:val="0"/>
          <w:numId w:val="2"/>
        </w:numPr>
        <w:spacing w:after="60"/>
        <w:ind w:left="851" w:hanging="425"/>
        <w:contextualSpacing w:val="0"/>
        <w:rPr>
          <w:rFonts w:cstheme="minorHAnsi"/>
          <w:bCs/>
          <w:color w:val="000000" w:themeColor="text1"/>
          <w:lang w:eastAsia="en-NZ"/>
        </w:rPr>
      </w:pPr>
      <w:r w:rsidRPr="00F259E4">
        <w:rPr>
          <w:rFonts w:cstheme="minorHAnsi"/>
          <w:color w:val="000000" w:themeColor="text1"/>
          <w:lang w:eastAsia="en-NZ"/>
        </w:rPr>
        <w:t>A PwC analysis of data from 200</w:t>
      </w:r>
      <w:r w:rsidR="000706E5" w:rsidRPr="00F259E4">
        <w:rPr>
          <w:rFonts w:cstheme="minorHAnsi"/>
          <w:color w:val="000000" w:themeColor="text1"/>
          <w:lang w:eastAsia="en-NZ"/>
        </w:rPr>
        <w:t>4</w:t>
      </w:r>
      <w:r w:rsidRPr="00F259E4">
        <w:rPr>
          <w:rFonts w:cstheme="minorHAnsi"/>
          <w:color w:val="000000" w:themeColor="text1"/>
          <w:lang w:eastAsia="en-NZ"/>
        </w:rPr>
        <w:t xml:space="preserve"> to 2017</w:t>
      </w:r>
      <w:r w:rsidR="00DA61F4">
        <w:rPr>
          <w:rStyle w:val="FootnoteReference"/>
          <w:rFonts w:cstheme="minorHAnsi"/>
          <w:color w:val="000000" w:themeColor="text1"/>
          <w:lang w:eastAsia="en-NZ"/>
        </w:rPr>
        <w:footnoteReference w:id="5"/>
      </w:r>
      <w:r w:rsidR="001F5B8E">
        <w:rPr>
          <w:rFonts w:cstheme="minorHAnsi"/>
          <w:color w:val="000000" w:themeColor="text1"/>
          <w:lang w:eastAsia="en-NZ"/>
        </w:rPr>
        <w:t xml:space="preserve"> </w:t>
      </w:r>
      <w:r w:rsidRPr="00F259E4">
        <w:rPr>
          <w:rFonts w:cstheme="minorHAnsi"/>
          <w:color w:val="000000" w:themeColor="text1"/>
          <w:lang w:eastAsia="en-NZ"/>
        </w:rPr>
        <w:t>is based on regulated information disclosure</w:t>
      </w:r>
      <w:r w:rsidR="00715371" w:rsidRPr="00F259E4">
        <w:rPr>
          <w:rFonts w:cstheme="minorHAnsi"/>
          <w:color w:val="000000" w:themeColor="text1"/>
          <w:lang w:eastAsia="en-NZ"/>
        </w:rPr>
        <w:t xml:space="preserve"> </w:t>
      </w:r>
      <w:r w:rsidRPr="00F259E4">
        <w:rPr>
          <w:rFonts w:cstheme="minorHAnsi"/>
          <w:color w:val="000000" w:themeColor="text1"/>
          <w:lang w:eastAsia="en-NZ"/>
        </w:rPr>
        <w:t>and is therefore a reliable snapshot of price trends.</w:t>
      </w:r>
    </w:p>
    <w:p w14:paraId="0B4DF796" w14:textId="277988F3" w:rsidR="003F2C43" w:rsidRPr="001F5B8E" w:rsidRDefault="003F2C43" w:rsidP="001D7428">
      <w:pPr>
        <w:pStyle w:val="ListParagraph"/>
        <w:widowControl w:val="0"/>
        <w:numPr>
          <w:ilvl w:val="0"/>
          <w:numId w:val="2"/>
        </w:numPr>
        <w:spacing w:after="60"/>
        <w:ind w:left="851" w:hanging="425"/>
        <w:contextualSpacing w:val="0"/>
        <w:rPr>
          <w:rFonts w:cstheme="minorHAnsi"/>
          <w:bCs/>
          <w:color w:val="000000" w:themeColor="text1"/>
          <w:lang w:eastAsia="en-NZ"/>
        </w:rPr>
      </w:pPr>
      <w:r w:rsidRPr="00F259E4">
        <w:rPr>
          <w:rFonts w:cstheme="minorHAnsi"/>
          <w:color w:val="000000" w:themeColor="text1"/>
          <w:lang w:eastAsia="en-NZ"/>
        </w:rPr>
        <w:t>This 1</w:t>
      </w:r>
      <w:r w:rsidR="000706E5" w:rsidRPr="00F259E4">
        <w:rPr>
          <w:rFonts w:cstheme="minorHAnsi"/>
          <w:color w:val="000000" w:themeColor="text1"/>
          <w:lang w:eastAsia="en-NZ"/>
        </w:rPr>
        <w:t>3</w:t>
      </w:r>
      <w:r w:rsidRPr="00F259E4">
        <w:rPr>
          <w:rFonts w:cstheme="minorHAnsi"/>
          <w:color w:val="000000" w:themeColor="text1"/>
          <w:lang w:eastAsia="en-NZ"/>
        </w:rPr>
        <w:t xml:space="preserve">-year analysis </w:t>
      </w:r>
      <w:r w:rsidR="00BE4267">
        <w:rPr>
          <w:rFonts w:cstheme="minorHAnsi"/>
          <w:color w:val="000000" w:themeColor="text1"/>
          <w:lang w:eastAsia="en-NZ"/>
        </w:rPr>
        <w:t xml:space="preserve">(pictured below) </w:t>
      </w:r>
      <w:r w:rsidRPr="00F259E4">
        <w:rPr>
          <w:rFonts w:cstheme="minorHAnsi"/>
          <w:color w:val="000000" w:themeColor="text1"/>
          <w:lang w:eastAsia="en-NZ"/>
        </w:rPr>
        <w:t xml:space="preserve">shows that distributor charges have increased an average of 1.4 percent per year in real terms, the lowest change of the five components of an electricity bill. </w:t>
      </w:r>
    </w:p>
    <w:p w14:paraId="7C87A5AB" w14:textId="0EDAB9D7" w:rsidR="001F5B8E" w:rsidRDefault="001F5B8E" w:rsidP="001F5B8E">
      <w:pPr>
        <w:widowControl w:val="0"/>
        <w:spacing w:after="60"/>
        <w:rPr>
          <w:rFonts w:cstheme="minorHAnsi"/>
          <w:bCs/>
          <w:color w:val="000000" w:themeColor="text1"/>
          <w:lang w:eastAsia="en-NZ"/>
        </w:rPr>
      </w:pPr>
    </w:p>
    <w:p w14:paraId="781821C7" w14:textId="3E83F5FD" w:rsidR="001F5B8E" w:rsidRPr="001F5B8E" w:rsidRDefault="001F5B8E" w:rsidP="001F5B8E">
      <w:pPr>
        <w:widowControl w:val="0"/>
        <w:spacing w:after="60"/>
        <w:rPr>
          <w:rFonts w:cstheme="minorHAnsi"/>
          <w:bCs/>
          <w:color w:val="000000" w:themeColor="text1"/>
          <w:lang w:eastAsia="en-NZ"/>
        </w:rPr>
      </w:pPr>
      <w:r>
        <w:rPr>
          <w:noProof/>
        </w:rPr>
        <w:lastRenderedPageBreak/>
        <w:drawing>
          <wp:inline distT="0" distB="0" distL="0" distR="0" wp14:anchorId="13B40980" wp14:editId="61DCDB6B">
            <wp:extent cx="5731510" cy="57188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18810"/>
                    </a:xfrm>
                    <a:prstGeom prst="rect">
                      <a:avLst/>
                    </a:prstGeom>
                    <a:noFill/>
                    <a:ln>
                      <a:noFill/>
                    </a:ln>
                  </pic:spPr>
                </pic:pic>
              </a:graphicData>
            </a:graphic>
          </wp:inline>
        </w:drawing>
      </w:r>
    </w:p>
    <w:p w14:paraId="25C1118B" w14:textId="7C1D10CF" w:rsidR="0019752F" w:rsidRDefault="0019752F" w:rsidP="0019752F">
      <w:pPr>
        <w:widowControl w:val="0"/>
        <w:spacing w:after="60"/>
        <w:rPr>
          <w:rFonts w:cstheme="minorHAnsi"/>
          <w:bCs/>
          <w:color w:val="000000" w:themeColor="text1"/>
          <w:lang w:eastAsia="en-NZ"/>
        </w:rPr>
      </w:pPr>
    </w:p>
    <w:p w14:paraId="773A9336" w14:textId="2DC530EB" w:rsidR="008C2648" w:rsidRPr="00F259E4" w:rsidRDefault="007D0B4F" w:rsidP="001D7428">
      <w:pPr>
        <w:pStyle w:val="ListParagraph"/>
        <w:widowControl w:val="0"/>
        <w:numPr>
          <w:ilvl w:val="0"/>
          <w:numId w:val="2"/>
        </w:numPr>
        <w:spacing w:after="60"/>
        <w:ind w:left="851" w:hanging="425"/>
        <w:contextualSpacing w:val="0"/>
        <w:rPr>
          <w:rFonts w:cstheme="minorHAnsi"/>
          <w:color w:val="000000" w:themeColor="text1"/>
          <w:lang w:eastAsia="en-NZ"/>
        </w:rPr>
      </w:pPr>
      <w:r w:rsidRPr="00F259E4">
        <w:rPr>
          <w:rFonts w:cstheme="minorHAnsi"/>
          <w:color w:val="000000" w:themeColor="text1"/>
          <w:lang w:eastAsia="en-NZ"/>
        </w:rPr>
        <w:t>Finally, it’s important to remember that e</w:t>
      </w:r>
      <w:r w:rsidR="003F2C43" w:rsidRPr="00F259E4">
        <w:rPr>
          <w:rFonts w:cstheme="minorHAnsi"/>
          <w:color w:val="000000" w:themeColor="text1"/>
          <w:lang w:eastAsia="en-NZ"/>
        </w:rPr>
        <w:t xml:space="preserve">lectricity distribution charges are regulated under Part 4 of the Commerce Act. </w:t>
      </w:r>
    </w:p>
    <w:p w14:paraId="4D8F91C8" w14:textId="77777777" w:rsidR="001B0D36" w:rsidRPr="00F259E4" w:rsidRDefault="001B0D36" w:rsidP="008C2648">
      <w:pPr>
        <w:widowControl w:val="0"/>
        <w:spacing w:after="60"/>
        <w:jc w:val="both"/>
        <w:rPr>
          <w:rFonts w:cstheme="minorHAnsi"/>
          <w:color w:val="000000" w:themeColor="text1"/>
          <w:lang w:eastAsia="en-NZ"/>
        </w:rPr>
      </w:pPr>
    </w:p>
    <w:p w14:paraId="2F757032" w14:textId="65533C5C" w:rsidR="003F2C43" w:rsidRPr="00F259E4" w:rsidRDefault="001D201C" w:rsidP="001D7428">
      <w:pPr>
        <w:pStyle w:val="ListParagraph"/>
        <w:widowControl w:val="0"/>
        <w:numPr>
          <w:ilvl w:val="0"/>
          <w:numId w:val="1"/>
        </w:numPr>
        <w:ind w:left="426" w:hanging="426"/>
        <w:contextualSpacing w:val="0"/>
        <w:jc w:val="both"/>
        <w:rPr>
          <w:rFonts w:cstheme="minorHAnsi"/>
          <w:b/>
          <w:bCs/>
          <w:color w:val="000000" w:themeColor="text1"/>
          <w:lang w:eastAsia="en-NZ"/>
        </w:rPr>
      </w:pPr>
      <w:r w:rsidRPr="00F259E4">
        <w:rPr>
          <w:rFonts w:cstheme="minorHAnsi"/>
          <w:b/>
          <w:bCs/>
          <w:color w:val="000000" w:themeColor="text1"/>
          <w:lang w:eastAsia="en-NZ"/>
        </w:rPr>
        <w:t>What are your views on the assessment of how electricity prices compare internationally?</w:t>
      </w:r>
    </w:p>
    <w:p w14:paraId="0373CCC4" w14:textId="2B53CDAB" w:rsidR="002A583E" w:rsidRPr="00F259E4" w:rsidRDefault="002A583E" w:rsidP="00B609E9">
      <w:pPr>
        <w:pStyle w:val="ListParagraph"/>
        <w:widowControl w:val="0"/>
        <w:numPr>
          <w:ilvl w:val="0"/>
          <w:numId w:val="3"/>
        </w:numPr>
        <w:spacing w:after="60"/>
        <w:ind w:left="851" w:hanging="425"/>
        <w:contextualSpacing w:val="0"/>
        <w:rPr>
          <w:rFonts w:cstheme="minorHAnsi"/>
          <w:bCs/>
          <w:color w:val="000000" w:themeColor="text1"/>
          <w:lang w:eastAsia="en-NZ"/>
        </w:rPr>
      </w:pPr>
      <w:r w:rsidRPr="00F259E4">
        <w:rPr>
          <w:rFonts w:cstheme="minorHAnsi"/>
          <w:color w:val="000000" w:themeColor="text1"/>
          <w:lang w:eastAsia="en-NZ"/>
        </w:rPr>
        <w:t>New Zealand compares favo</w:t>
      </w:r>
      <w:r w:rsidR="00D4026C" w:rsidRPr="00F259E4">
        <w:rPr>
          <w:rFonts w:cstheme="minorHAnsi"/>
          <w:color w:val="000000" w:themeColor="text1"/>
          <w:lang w:eastAsia="en-NZ"/>
        </w:rPr>
        <w:t>u</w:t>
      </w:r>
      <w:r w:rsidRPr="00F259E4">
        <w:rPr>
          <w:rFonts w:cstheme="minorHAnsi"/>
          <w:color w:val="000000" w:themeColor="text1"/>
          <w:lang w:eastAsia="en-NZ"/>
        </w:rPr>
        <w:t>rably with most other OECD countries in terms of electricity prices.</w:t>
      </w:r>
    </w:p>
    <w:p w14:paraId="582B1182" w14:textId="744E485A" w:rsidR="0074785B" w:rsidRPr="00F259E4" w:rsidRDefault="002A583E" w:rsidP="00B609E9">
      <w:pPr>
        <w:pStyle w:val="ListParagraph"/>
        <w:widowControl w:val="0"/>
        <w:numPr>
          <w:ilvl w:val="0"/>
          <w:numId w:val="3"/>
        </w:numPr>
        <w:spacing w:after="60"/>
        <w:ind w:left="851" w:hanging="425"/>
        <w:contextualSpacing w:val="0"/>
        <w:rPr>
          <w:rFonts w:cstheme="minorHAnsi"/>
          <w:bCs/>
          <w:color w:val="000000" w:themeColor="text1"/>
          <w:lang w:eastAsia="en-NZ"/>
        </w:rPr>
      </w:pPr>
      <w:r w:rsidRPr="00F259E4">
        <w:rPr>
          <w:rFonts w:cstheme="minorHAnsi"/>
          <w:color w:val="000000" w:themeColor="text1"/>
          <w:lang w:eastAsia="en-NZ"/>
        </w:rPr>
        <w:t>New Zealand has the 12</w:t>
      </w:r>
      <w:r w:rsidRPr="00F259E4">
        <w:rPr>
          <w:rFonts w:cstheme="minorHAnsi"/>
          <w:color w:val="000000" w:themeColor="text1"/>
          <w:vertAlign w:val="superscript"/>
          <w:lang w:eastAsia="en-NZ"/>
        </w:rPr>
        <w:t>th</w:t>
      </w:r>
      <w:r w:rsidRPr="00F259E4">
        <w:rPr>
          <w:rFonts w:cstheme="minorHAnsi"/>
          <w:color w:val="000000" w:themeColor="text1"/>
          <w:lang w:eastAsia="en-NZ"/>
        </w:rPr>
        <w:t xml:space="preserve"> lowest residential electricity prices in Figure 9 (a comparison of 34 OECD countries)</w:t>
      </w:r>
      <w:r w:rsidR="00625402">
        <w:rPr>
          <w:rStyle w:val="FootnoteReference"/>
          <w:rFonts w:cstheme="minorHAnsi"/>
          <w:color w:val="000000" w:themeColor="text1"/>
          <w:lang w:eastAsia="en-NZ"/>
        </w:rPr>
        <w:footnoteReference w:id="6"/>
      </w:r>
      <w:r w:rsidRPr="00F259E4">
        <w:rPr>
          <w:rFonts w:cstheme="minorHAnsi"/>
          <w:color w:val="000000" w:themeColor="text1"/>
          <w:lang w:eastAsia="en-NZ"/>
        </w:rPr>
        <w:t>.</w:t>
      </w:r>
      <w:r w:rsidR="009E18DD" w:rsidRPr="00F259E4">
        <w:rPr>
          <w:rFonts w:cstheme="minorHAnsi"/>
          <w:color w:val="000000" w:themeColor="text1"/>
          <w:lang w:eastAsia="en-NZ"/>
        </w:rPr>
        <w:t xml:space="preserve"> </w:t>
      </w:r>
      <w:r w:rsidR="00FB621F">
        <w:rPr>
          <w:rFonts w:cstheme="minorHAnsi"/>
          <w:color w:val="000000" w:themeColor="text1"/>
          <w:lang w:eastAsia="en-NZ"/>
        </w:rPr>
        <w:t>This is a commendable result when considering New Zealand does not have the benefits of interconnection to other large electricity markets and the low density and diffic</w:t>
      </w:r>
      <w:r w:rsidR="001D7428">
        <w:rPr>
          <w:rFonts w:cstheme="minorHAnsi"/>
          <w:color w:val="000000" w:themeColor="text1"/>
          <w:lang w:eastAsia="en-NZ"/>
        </w:rPr>
        <w:t xml:space="preserve">ult terrain we must deal with. </w:t>
      </w:r>
      <w:r w:rsidR="00F61527">
        <w:rPr>
          <w:rFonts w:cstheme="minorHAnsi"/>
          <w:color w:val="000000" w:themeColor="text1"/>
          <w:lang w:eastAsia="en-NZ"/>
        </w:rPr>
        <w:t>We do accept, however, that there is</w:t>
      </w:r>
      <w:r w:rsidR="00731B00" w:rsidRPr="00F259E4">
        <w:rPr>
          <w:rFonts w:cstheme="minorHAnsi"/>
          <w:color w:val="000000" w:themeColor="text1"/>
          <w:lang w:eastAsia="en-NZ"/>
        </w:rPr>
        <w:t xml:space="preserve"> a significant problem with affordability for a</w:t>
      </w:r>
      <w:r w:rsidR="00E20245" w:rsidRPr="00F259E4">
        <w:rPr>
          <w:rFonts w:cstheme="minorHAnsi"/>
          <w:color w:val="000000" w:themeColor="text1"/>
          <w:lang w:eastAsia="en-NZ"/>
        </w:rPr>
        <w:t xml:space="preserve"> </w:t>
      </w:r>
      <w:r w:rsidR="00705F55" w:rsidRPr="00F259E4">
        <w:rPr>
          <w:rFonts w:cstheme="minorHAnsi"/>
          <w:color w:val="000000" w:themeColor="text1"/>
          <w:lang w:eastAsia="en-NZ"/>
        </w:rPr>
        <w:t xml:space="preserve">sizable </w:t>
      </w:r>
      <w:r w:rsidR="00E20245" w:rsidRPr="00F259E4">
        <w:rPr>
          <w:rFonts w:cstheme="minorHAnsi"/>
          <w:color w:val="000000" w:themeColor="text1"/>
          <w:lang w:eastAsia="en-NZ"/>
        </w:rPr>
        <w:t>group of consumers</w:t>
      </w:r>
      <w:r w:rsidR="0074785B">
        <w:rPr>
          <w:rFonts w:cstheme="minorHAnsi"/>
          <w:color w:val="000000" w:themeColor="text1"/>
          <w:lang w:eastAsia="en-NZ"/>
        </w:rPr>
        <w:t xml:space="preserve"> and that the </w:t>
      </w:r>
      <w:r w:rsidR="0074785B">
        <w:rPr>
          <w:rFonts w:cstheme="minorHAnsi"/>
          <w:color w:val="000000" w:themeColor="text1"/>
          <w:lang w:eastAsia="en-NZ"/>
        </w:rPr>
        <w:lastRenderedPageBreak/>
        <w:t>electricity sector needs to play its part in addressing this, which requires effective competition in the contestable parts of the market and effective regulation where there is an absence of competition</w:t>
      </w:r>
      <w:r w:rsidR="0074785B" w:rsidRPr="00F259E4">
        <w:rPr>
          <w:rFonts w:cstheme="minorHAnsi"/>
          <w:color w:val="000000" w:themeColor="text1"/>
          <w:lang w:eastAsia="en-NZ"/>
        </w:rPr>
        <w:t>.</w:t>
      </w:r>
      <w:r w:rsidR="0074785B">
        <w:rPr>
          <w:rFonts w:cstheme="minorHAnsi"/>
          <w:color w:val="000000" w:themeColor="text1"/>
          <w:lang w:eastAsia="en-NZ"/>
        </w:rPr>
        <w:t xml:space="preserve">  </w:t>
      </w:r>
    </w:p>
    <w:p w14:paraId="1E74C877" w14:textId="67EA46BC" w:rsidR="002A583E" w:rsidRPr="00A74802" w:rsidRDefault="002A583E" w:rsidP="00B609E9">
      <w:pPr>
        <w:pStyle w:val="ListParagraph"/>
        <w:widowControl w:val="0"/>
        <w:numPr>
          <w:ilvl w:val="0"/>
          <w:numId w:val="3"/>
        </w:numPr>
        <w:spacing w:after="60"/>
        <w:ind w:left="851" w:hanging="425"/>
        <w:contextualSpacing w:val="0"/>
        <w:rPr>
          <w:rFonts w:cstheme="minorHAnsi"/>
          <w:color w:val="000000" w:themeColor="text1"/>
          <w:lang w:eastAsia="en-NZ"/>
        </w:rPr>
      </w:pPr>
      <w:r w:rsidRPr="0074785B">
        <w:rPr>
          <w:rFonts w:cstheme="minorHAnsi"/>
          <w:color w:val="000000" w:themeColor="text1"/>
          <w:lang w:eastAsia="en-NZ"/>
        </w:rPr>
        <w:t>New Zealand has the seventh lowest industrial electricity prices in Figure 10 (a comparison of 33 OECD countries).</w:t>
      </w:r>
      <w:r w:rsidR="009D7965" w:rsidRPr="00A74802">
        <w:rPr>
          <w:rFonts w:cstheme="minorHAnsi"/>
          <w:color w:val="000000" w:themeColor="text1"/>
          <w:lang w:eastAsia="en-NZ"/>
        </w:rPr>
        <w:t xml:space="preserve"> </w:t>
      </w:r>
    </w:p>
    <w:p w14:paraId="013B3AFA" w14:textId="725B57DE" w:rsidR="002A583E" w:rsidRPr="00F259E4" w:rsidRDefault="002627B7" w:rsidP="00B609E9">
      <w:pPr>
        <w:widowControl w:val="0"/>
        <w:spacing w:after="60"/>
        <w:ind w:left="851"/>
        <w:rPr>
          <w:rFonts w:cstheme="minorHAnsi"/>
          <w:color w:val="000000" w:themeColor="text1"/>
          <w:lang w:eastAsia="en-NZ"/>
        </w:rPr>
      </w:pPr>
      <w:r w:rsidRPr="00F259E4">
        <w:rPr>
          <w:rFonts w:cstheme="minorHAnsi"/>
          <w:color w:val="000000" w:themeColor="text1"/>
          <w:lang w:eastAsia="en-NZ"/>
        </w:rPr>
        <w:t>(</w:t>
      </w:r>
      <w:r w:rsidR="002A583E" w:rsidRPr="00F259E4">
        <w:rPr>
          <w:rFonts w:cstheme="minorHAnsi"/>
          <w:color w:val="000000" w:themeColor="text1"/>
          <w:lang w:eastAsia="en-NZ"/>
        </w:rPr>
        <w:t xml:space="preserve">We note that Australia is missing from Figure 10 and that </w:t>
      </w:r>
      <w:r w:rsidR="002A380A" w:rsidRPr="00F259E4">
        <w:rPr>
          <w:rFonts w:cstheme="minorHAnsi"/>
          <w:color w:val="000000" w:themeColor="text1"/>
          <w:lang w:eastAsia="en-NZ"/>
        </w:rPr>
        <w:t xml:space="preserve">the </w:t>
      </w:r>
      <w:r w:rsidR="002A583E" w:rsidRPr="00F259E4">
        <w:rPr>
          <w:rFonts w:cstheme="minorHAnsi"/>
          <w:color w:val="000000" w:themeColor="text1"/>
          <w:lang w:eastAsia="en-NZ"/>
        </w:rPr>
        <w:t>OECD has 36 member countries.</w:t>
      </w:r>
      <w:r w:rsidRPr="00F259E4">
        <w:rPr>
          <w:rFonts w:cstheme="minorHAnsi"/>
          <w:color w:val="000000" w:themeColor="text1"/>
          <w:lang w:eastAsia="en-NZ"/>
        </w:rPr>
        <w:t>)</w:t>
      </w:r>
    </w:p>
    <w:p w14:paraId="6C46BF6F" w14:textId="77777777" w:rsidR="00182F42" w:rsidRPr="00F259E4" w:rsidRDefault="00182F42" w:rsidP="00182F42">
      <w:pPr>
        <w:widowControl w:val="0"/>
        <w:spacing w:after="60"/>
        <w:jc w:val="both"/>
        <w:rPr>
          <w:rFonts w:cstheme="minorHAnsi"/>
          <w:color w:val="000000" w:themeColor="text1"/>
          <w:lang w:eastAsia="en-NZ"/>
        </w:rPr>
      </w:pPr>
    </w:p>
    <w:p w14:paraId="7370DB4C" w14:textId="754EB7B3" w:rsidR="00182F42" w:rsidRPr="00F259E4" w:rsidRDefault="00182F42" w:rsidP="001D7428">
      <w:pPr>
        <w:pStyle w:val="numberbullet"/>
        <w:tabs>
          <w:tab w:val="clear" w:pos="1134"/>
        </w:tabs>
        <w:ind w:left="426" w:hanging="426"/>
        <w:rPr>
          <w:bCs/>
          <w:lang w:eastAsia="en-NZ"/>
        </w:rPr>
      </w:pPr>
      <w:r w:rsidRPr="00F259E4">
        <w:rPr>
          <w:lang w:eastAsia="en-NZ"/>
        </w:rPr>
        <w:t>What are your views on the outlook for electricity prices?</w:t>
      </w:r>
      <w:r w:rsidRPr="00F259E4">
        <w:rPr>
          <w:bCs/>
          <w:lang w:eastAsia="en-NZ"/>
        </w:rPr>
        <w:t xml:space="preserve"> </w:t>
      </w:r>
    </w:p>
    <w:p w14:paraId="73029F8F" w14:textId="3A94EC23" w:rsidR="00A74802" w:rsidRPr="00A74802" w:rsidRDefault="0061622F" w:rsidP="00273087">
      <w:pPr>
        <w:pStyle w:val="ListParagraph"/>
        <w:widowControl w:val="0"/>
        <w:numPr>
          <w:ilvl w:val="0"/>
          <w:numId w:val="62"/>
        </w:numPr>
        <w:ind w:left="851" w:hanging="425"/>
        <w:contextualSpacing w:val="0"/>
        <w:rPr>
          <w:rFonts w:cstheme="minorHAnsi"/>
          <w:color w:val="000000" w:themeColor="text1"/>
          <w:lang w:eastAsia="en-NZ"/>
        </w:rPr>
      </w:pPr>
      <w:r>
        <w:rPr>
          <w:rFonts w:cstheme="minorHAnsi"/>
          <w:color w:val="000000" w:themeColor="text1"/>
          <w:lang w:eastAsia="en-NZ"/>
        </w:rPr>
        <w:t>W</w:t>
      </w:r>
      <w:r w:rsidR="00A74802" w:rsidRPr="00A74802">
        <w:rPr>
          <w:rFonts w:cstheme="minorHAnsi"/>
          <w:color w:val="000000" w:themeColor="text1"/>
          <w:lang w:eastAsia="en-NZ"/>
        </w:rPr>
        <w:t xml:space="preserve">ith the right regulatory and Government support, the outlook for </w:t>
      </w:r>
      <w:r w:rsidR="00964EBC">
        <w:rPr>
          <w:rFonts w:cstheme="minorHAnsi"/>
          <w:color w:val="000000" w:themeColor="text1"/>
          <w:lang w:eastAsia="en-NZ"/>
        </w:rPr>
        <w:t xml:space="preserve">NZ </w:t>
      </w:r>
      <w:r w:rsidR="00A74802" w:rsidRPr="00A74802">
        <w:rPr>
          <w:rFonts w:cstheme="minorHAnsi"/>
          <w:color w:val="000000" w:themeColor="text1"/>
          <w:lang w:eastAsia="en-NZ"/>
        </w:rPr>
        <w:t>electricity prices is favourable, especially when considered against relative outlooks for other countries facing significant decarbonisation challenges.  The general expectation is for New Zealand to meet growing electrification needs with renewable electricity sources, which should cost no more to develop than existing generation resources.</w:t>
      </w:r>
    </w:p>
    <w:p w14:paraId="14F5CEDD" w14:textId="77777777" w:rsidR="00AE2C00" w:rsidRDefault="00A74802" w:rsidP="00273087">
      <w:pPr>
        <w:pStyle w:val="ListParagraph"/>
        <w:widowControl w:val="0"/>
        <w:numPr>
          <w:ilvl w:val="0"/>
          <w:numId w:val="62"/>
        </w:numPr>
        <w:ind w:left="851" w:hanging="425"/>
        <w:contextualSpacing w:val="0"/>
        <w:rPr>
          <w:rFonts w:cstheme="minorHAnsi"/>
          <w:color w:val="000000" w:themeColor="text1"/>
          <w:lang w:eastAsia="en-NZ"/>
        </w:rPr>
      </w:pPr>
      <w:r w:rsidRPr="00A74802">
        <w:rPr>
          <w:rFonts w:cstheme="minorHAnsi"/>
          <w:color w:val="000000" w:themeColor="text1"/>
          <w:lang w:eastAsia="en-NZ"/>
        </w:rPr>
        <w:t>Distribution prices appear to be set for a small decline at the 2020 reset (assuming interest rates remain low) and lift modestly over the r</w:t>
      </w:r>
      <w:r w:rsidR="001D7428">
        <w:rPr>
          <w:rFonts w:cstheme="minorHAnsi"/>
          <w:color w:val="000000" w:themeColor="text1"/>
          <w:lang w:eastAsia="en-NZ"/>
        </w:rPr>
        <w:t xml:space="preserve">egulatory period 2020 to 2025. </w:t>
      </w:r>
    </w:p>
    <w:p w14:paraId="46B01BF2" w14:textId="187D3EE6" w:rsidR="00A74802" w:rsidRPr="00A74802" w:rsidRDefault="00A74802" w:rsidP="00273087">
      <w:pPr>
        <w:pStyle w:val="ListParagraph"/>
        <w:widowControl w:val="0"/>
        <w:numPr>
          <w:ilvl w:val="0"/>
          <w:numId w:val="62"/>
        </w:numPr>
        <w:ind w:left="851" w:hanging="425"/>
        <w:contextualSpacing w:val="0"/>
        <w:rPr>
          <w:rFonts w:cstheme="minorHAnsi"/>
          <w:color w:val="000000" w:themeColor="text1"/>
          <w:lang w:eastAsia="en-NZ"/>
        </w:rPr>
      </w:pPr>
      <w:r w:rsidRPr="00A74802">
        <w:rPr>
          <w:rFonts w:cstheme="minorHAnsi"/>
          <w:color w:val="000000" w:themeColor="text1"/>
          <w:lang w:eastAsia="en-NZ"/>
        </w:rPr>
        <w:t>Most networks are facing a wave of reinvestment requirements as assets built in the 1960s an</w:t>
      </w:r>
      <w:r w:rsidR="001D7428">
        <w:rPr>
          <w:rFonts w:cstheme="minorHAnsi"/>
          <w:color w:val="000000" w:themeColor="text1"/>
          <w:lang w:eastAsia="en-NZ"/>
        </w:rPr>
        <w:t xml:space="preserve">d </w:t>
      </w:r>
      <w:r w:rsidR="00B768CD">
        <w:rPr>
          <w:rFonts w:cstheme="minorHAnsi"/>
          <w:color w:val="000000" w:themeColor="text1"/>
          <w:lang w:eastAsia="en-NZ"/>
        </w:rPr>
        <w:t xml:space="preserve">seventies </w:t>
      </w:r>
      <w:r w:rsidR="001D7428">
        <w:rPr>
          <w:rFonts w:cstheme="minorHAnsi"/>
          <w:color w:val="000000" w:themeColor="text1"/>
          <w:lang w:eastAsia="en-NZ"/>
        </w:rPr>
        <w:t xml:space="preserve">are due for replacement. </w:t>
      </w:r>
      <w:r w:rsidRPr="00A74802">
        <w:rPr>
          <w:rFonts w:cstheme="minorHAnsi"/>
          <w:color w:val="000000" w:themeColor="text1"/>
          <w:lang w:eastAsia="en-NZ"/>
        </w:rPr>
        <w:t>Modern</w:t>
      </w:r>
      <w:r w:rsidR="00B768CD">
        <w:rPr>
          <w:rFonts w:cstheme="minorHAnsi"/>
          <w:color w:val="000000" w:themeColor="text1"/>
          <w:lang w:eastAsia="en-NZ"/>
        </w:rPr>
        <w:t>,</w:t>
      </w:r>
      <w:r w:rsidRPr="00A74802">
        <w:rPr>
          <w:rFonts w:cstheme="minorHAnsi"/>
          <w:color w:val="000000" w:themeColor="text1"/>
          <w:lang w:eastAsia="en-NZ"/>
        </w:rPr>
        <w:t xml:space="preserve"> equivalent commissioned assets tend to be more expensive </w:t>
      </w:r>
      <w:r w:rsidR="00BB5FBB">
        <w:rPr>
          <w:rFonts w:cstheme="minorHAnsi"/>
          <w:color w:val="000000" w:themeColor="text1"/>
          <w:lang w:eastAsia="en-NZ"/>
        </w:rPr>
        <w:t>than</w:t>
      </w:r>
      <w:r w:rsidRPr="00A74802">
        <w:rPr>
          <w:rFonts w:cstheme="minorHAnsi"/>
          <w:color w:val="000000" w:themeColor="text1"/>
          <w:lang w:eastAsia="en-NZ"/>
        </w:rPr>
        <w:t xml:space="preserve"> the heavily</w:t>
      </w:r>
      <w:r w:rsidR="00B768CD">
        <w:rPr>
          <w:rFonts w:cstheme="minorHAnsi"/>
          <w:color w:val="000000" w:themeColor="text1"/>
          <w:lang w:eastAsia="en-NZ"/>
        </w:rPr>
        <w:t>-</w:t>
      </w:r>
      <w:r w:rsidRPr="00A74802">
        <w:rPr>
          <w:rFonts w:cstheme="minorHAnsi"/>
          <w:color w:val="000000" w:themeColor="text1"/>
          <w:lang w:eastAsia="en-NZ"/>
        </w:rPr>
        <w:t>depreciated old assets</w:t>
      </w:r>
      <w:r w:rsidR="00163C2E">
        <w:rPr>
          <w:rFonts w:cstheme="minorHAnsi"/>
          <w:color w:val="000000" w:themeColor="text1"/>
          <w:lang w:eastAsia="en-NZ"/>
        </w:rPr>
        <w:t>.</w:t>
      </w:r>
      <w:r w:rsidRPr="00A74802">
        <w:rPr>
          <w:rFonts w:cstheme="minorHAnsi"/>
          <w:color w:val="000000" w:themeColor="text1"/>
          <w:lang w:eastAsia="en-NZ"/>
        </w:rPr>
        <w:t xml:space="preserve"> </w:t>
      </w:r>
      <w:r w:rsidR="00163C2E">
        <w:rPr>
          <w:rFonts w:cstheme="minorHAnsi"/>
          <w:color w:val="000000" w:themeColor="text1"/>
          <w:lang w:eastAsia="en-NZ"/>
        </w:rPr>
        <w:t xml:space="preserve">This is because </w:t>
      </w:r>
      <w:r w:rsidRPr="00A74802">
        <w:rPr>
          <w:rFonts w:cstheme="minorHAnsi"/>
          <w:color w:val="000000" w:themeColor="text1"/>
          <w:lang w:eastAsia="en-NZ"/>
        </w:rPr>
        <w:t xml:space="preserve">more </w:t>
      </w:r>
      <w:r w:rsidR="00CC01B8">
        <w:rPr>
          <w:rFonts w:cstheme="minorHAnsi"/>
          <w:color w:val="000000" w:themeColor="text1"/>
          <w:lang w:eastAsia="en-NZ"/>
        </w:rPr>
        <w:t xml:space="preserve">exacting </w:t>
      </w:r>
      <w:r w:rsidRPr="00A74802">
        <w:rPr>
          <w:rFonts w:cstheme="minorHAnsi"/>
          <w:color w:val="000000" w:themeColor="text1"/>
          <w:lang w:eastAsia="en-NZ"/>
        </w:rPr>
        <w:t>health and safety requirements have significantly increased the costs of installation, as have factors such traffic management requirements</w:t>
      </w:r>
      <w:r w:rsidR="00E34E5B">
        <w:rPr>
          <w:rFonts w:cstheme="minorHAnsi"/>
          <w:color w:val="000000" w:themeColor="text1"/>
          <w:lang w:eastAsia="en-NZ"/>
        </w:rPr>
        <w:t xml:space="preserve">, consenting </w:t>
      </w:r>
      <w:r w:rsidR="00755529">
        <w:rPr>
          <w:rFonts w:cstheme="minorHAnsi"/>
          <w:color w:val="000000" w:themeColor="text1"/>
          <w:lang w:eastAsia="en-NZ"/>
        </w:rPr>
        <w:t>processes</w:t>
      </w:r>
      <w:r w:rsidR="00E34E5B">
        <w:rPr>
          <w:rFonts w:cstheme="minorHAnsi"/>
          <w:color w:val="000000" w:themeColor="text1"/>
          <w:lang w:eastAsia="en-NZ"/>
        </w:rPr>
        <w:t>,</w:t>
      </w:r>
      <w:r w:rsidRPr="00A74802">
        <w:rPr>
          <w:rFonts w:cstheme="minorHAnsi"/>
          <w:color w:val="000000" w:themeColor="text1"/>
          <w:lang w:eastAsia="en-NZ"/>
        </w:rPr>
        <w:t xml:space="preserve"> and increased congestion on roads.</w:t>
      </w:r>
    </w:p>
    <w:p w14:paraId="6D2CFB70" w14:textId="761E137D" w:rsidR="00A74802" w:rsidRPr="00A74802" w:rsidRDefault="00A74802" w:rsidP="00273087">
      <w:pPr>
        <w:pStyle w:val="ListParagraph"/>
        <w:widowControl w:val="0"/>
        <w:numPr>
          <w:ilvl w:val="0"/>
          <w:numId w:val="62"/>
        </w:numPr>
        <w:ind w:left="851" w:hanging="425"/>
        <w:contextualSpacing w:val="0"/>
        <w:rPr>
          <w:rFonts w:cstheme="minorHAnsi"/>
          <w:color w:val="000000" w:themeColor="text1"/>
          <w:lang w:eastAsia="en-NZ"/>
        </w:rPr>
      </w:pPr>
      <w:r w:rsidRPr="00A74802">
        <w:rPr>
          <w:rFonts w:cstheme="minorHAnsi"/>
          <w:color w:val="000000" w:themeColor="text1"/>
          <w:lang w:eastAsia="en-NZ"/>
        </w:rPr>
        <w:t>An important factor impacting on delivered electricity prices is whether or not policy-makers can stay the p</w:t>
      </w:r>
      <w:r w:rsidR="001D7428">
        <w:rPr>
          <w:rFonts w:cstheme="minorHAnsi"/>
          <w:color w:val="000000" w:themeColor="text1"/>
          <w:lang w:eastAsia="en-NZ"/>
        </w:rPr>
        <w:t xml:space="preserve">ath on network pricing reform. </w:t>
      </w:r>
      <w:r w:rsidRPr="00A74802">
        <w:rPr>
          <w:rFonts w:cstheme="minorHAnsi"/>
          <w:color w:val="000000" w:themeColor="text1"/>
          <w:lang w:eastAsia="en-NZ"/>
        </w:rPr>
        <w:t xml:space="preserve">New technologies and improved housing stock provide some consumers with opportunities to reduce their contribution to paying for the costs of the network (distribution </w:t>
      </w:r>
      <w:r w:rsidRPr="00DA01CD">
        <w:rPr>
          <w:rFonts w:cstheme="minorHAnsi"/>
          <w:i/>
          <w:color w:val="000000" w:themeColor="text1"/>
          <w:lang w:eastAsia="en-NZ"/>
        </w:rPr>
        <w:t>and</w:t>
      </w:r>
      <w:r w:rsidR="001D7428" w:rsidRPr="00DA01CD">
        <w:rPr>
          <w:rFonts w:cstheme="minorHAnsi"/>
          <w:i/>
          <w:color w:val="000000" w:themeColor="text1"/>
          <w:lang w:eastAsia="en-NZ"/>
        </w:rPr>
        <w:t xml:space="preserve"> </w:t>
      </w:r>
      <w:r w:rsidR="001D7428">
        <w:rPr>
          <w:rFonts w:cstheme="minorHAnsi"/>
          <w:color w:val="000000" w:themeColor="text1"/>
          <w:lang w:eastAsia="en-NZ"/>
        </w:rPr>
        <w:t xml:space="preserve">transmission) infrastructure. </w:t>
      </w:r>
      <w:r w:rsidR="008D773E">
        <w:rPr>
          <w:rFonts w:cstheme="minorHAnsi"/>
          <w:color w:val="000000" w:themeColor="text1"/>
          <w:lang w:eastAsia="en-NZ"/>
        </w:rPr>
        <w:t>To fund the shortfall</w:t>
      </w:r>
      <w:r w:rsidRPr="00A74802">
        <w:rPr>
          <w:rFonts w:cstheme="minorHAnsi"/>
          <w:color w:val="000000" w:themeColor="text1"/>
          <w:lang w:eastAsia="en-NZ"/>
        </w:rPr>
        <w:t>, other customers</w:t>
      </w:r>
      <w:r w:rsidR="008556F4">
        <w:rPr>
          <w:rFonts w:cstheme="minorHAnsi"/>
          <w:color w:val="000000" w:themeColor="text1"/>
          <w:lang w:eastAsia="en-NZ"/>
        </w:rPr>
        <w:t>,</w:t>
      </w:r>
      <w:r w:rsidRPr="00A74802">
        <w:rPr>
          <w:rFonts w:cstheme="minorHAnsi"/>
          <w:color w:val="000000" w:themeColor="text1"/>
          <w:lang w:eastAsia="en-NZ"/>
        </w:rPr>
        <w:t xml:space="preserve"> who are unable to access such technologies or make energy efficiency improvements</w:t>
      </w:r>
      <w:r w:rsidR="008556F4">
        <w:rPr>
          <w:rFonts w:cstheme="minorHAnsi"/>
          <w:color w:val="000000" w:themeColor="text1"/>
          <w:lang w:eastAsia="en-NZ"/>
        </w:rPr>
        <w:t>,</w:t>
      </w:r>
      <w:r w:rsidRPr="00A74802">
        <w:rPr>
          <w:rFonts w:cstheme="minorHAnsi"/>
          <w:color w:val="000000" w:themeColor="text1"/>
          <w:lang w:eastAsia="en-NZ"/>
        </w:rPr>
        <w:t xml:space="preserve"> pay higher pr</w:t>
      </w:r>
      <w:r w:rsidR="001D7428">
        <w:rPr>
          <w:rFonts w:cstheme="minorHAnsi"/>
          <w:color w:val="000000" w:themeColor="text1"/>
          <w:lang w:eastAsia="en-NZ"/>
        </w:rPr>
        <w:t xml:space="preserve">ices. </w:t>
      </w:r>
      <w:r w:rsidRPr="00A74802">
        <w:rPr>
          <w:rFonts w:cstheme="minorHAnsi"/>
          <w:color w:val="000000" w:themeColor="text1"/>
          <w:lang w:eastAsia="en-NZ"/>
        </w:rPr>
        <w:t>This is because EDBs are required to recover an excessive proportion of their costs through variable network prices</w:t>
      </w:r>
      <w:r w:rsidR="00100CB5">
        <w:rPr>
          <w:rFonts w:cstheme="minorHAnsi"/>
          <w:color w:val="000000" w:themeColor="text1"/>
          <w:lang w:eastAsia="en-NZ"/>
        </w:rPr>
        <w:t xml:space="preserve">, due in large part to the </w:t>
      </w:r>
      <w:r w:rsidR="003304A2">
        <w:rPr>
          <w:rFonts w:cstheme="minorHAnsi"/>
          <w:color w:val="000000" w:themeColor="text1"/>
          <w:lang w:eastAsia="en-NZ"/>
        </w:rPr>
        <w:t xml:space="preserve">Electricity (Low Fixed Charge Tariff Options for Domestic Consumers) Regulations 2004. </w:t>
      </w:r>
    </w:p>
    <w:p w14:paraId="0D47C4EC" w14:textId="155A4391" w:rsidR="00133F02" w:rsidRPr="00133F02" w:rsidRDefault="00FD331B" w:rsidP="009E312C">
      <w:pPr>
        <w:pStyle w:val="ListParagraph"/>
        <w:widowControl w:val="0"/>
        <w:numPr>
          <w:ilvl w:val="0"/>
          <w:numId w:val="62"/>
        </w:numPr>
        <w:ind w:left="851" w:hanging="425"/>
        <w:contextualSpacing w:val="0"/>
        <w:rPr>
          <w:rFonts w:cstheme="minorHAnsi"/>
          <w:color w:val="000000" w:themeColor="text1"/>
          <w:lang w:eastAsia="en-NZ"/>
        </w:rPr>
      </w:pPr>
      <w:r w:rsidRPr="00133F02">
        <w:rPr>
          <w:rFonts w:cstheme="minorHAnsi"/>
          <w:color w:val="000000" w:themeColor="text1"/>
          <w:lang w:eastAsia="en-NZ"/>
        </w:rPr>
        <w:t>Without</w:t>
      </w:r>
      <w:r w:rsidR="00A74802" w:rsidRPr="00133F02">
        <w:rPr>
          <w:rFonts w:cstheme="minorHAnsi"/>
          <w:color w:val="000000" w:themeColor="text1"/>
          <w:lang w:eastAsia="en-NZ"/>
        </w:rPr>
        <w:t xml:space="preserve"> network pricing reform and removal or substantial amendment </w:t>
      </w:r>
      <w:r w:rsidR="00FF4536" w:rsidRPr="00133F02">
        <w:rPr>
          <w:rFonts w:cstheme="minorHAnsi"/>
          <w:color w:val="000000" w:themeColor="text1"/>
          <w:lang w:eastAsia="en-NZ"/>
        </w:rPr>
        <w:t>to</w:t>
      </w:r>
      <w:r w:rsidR="00A74802" w:rsidRPr="00133F02">
        <w:rPr>
          <w:rFonts w:cstheme="minorHAnsi"/>
          <w:color w:val="000000" w:themeColor="text1"/>
          <w:lang w:eastAsia="en-NZ"/>
        </w:rPr>
        <w:t xml:space="preserve"> the</w:t>
      </w:r>
      <w:r w:rsidR="008556F4" w:rsidRPr="00133F02">
        <w:rPr>
          <w:rFonts w:cstheme="minorHAnsi"/>
          <w:color w:val="000000" w:themeColor="text1"/>
          <w:lang w:eastAsia="en-NZ"/>
        </w:rPr>
        <w:t xml:space="preserve"> l</w:t>
      </w:r>
      <w:r w:rsidR="00A74802" w:rsidRPr="00133F02">
        <w:rPr>
          <w:rFonts w:cstheme="minorHAnsi"/>
          <w:color w:val="000000" w:themeColor="text1"/>
          <w:lang w:eastAsia="en-NZ"/>
        </w:rPr>
        <w:t xml:space="preserve">ow </w:t>
      </w:r>
      <w:r w:rsidR="008556F4" w:rsidRPr="00133F02">
        <w:rPr>
          <w:rFonts w:cstheme="minorHAnsi"/>
          <w:color w:val="000000" w:themeColor="text1"/>
          <w:lang w:eastAsia="en-NZ"/>
        </w:rPr>
        <w:t>f</w:t>
      </w:r>
      <w:r w:rsidR="00A74802" w:rsidRPr="00133F02">
        <w:rPr>
          <w:rFonts w:cstheme="minorHAnsi"/>
          <w:color w:val="000000" w:themeColor="text1"/>
          <w:lang w:eastAsia="en-NZ"/>
        </w:rPr>
        <w:t xml:space="preserve">ixed </w:t>
      </w:r>
      <w:r w:rsidR="008556F4" w:rsidRPr="00133F02">
        <w:rPr>
          <w:rFonts w:cstheme="minorHAnsi"/>
          <w:color w:val="000000" w:themeColor="text1"/>
          <w:lang w:eastAsia="en-NZ"/>
        </w:rPr>
        <w:t>c</w:t>
      </w:r>
      <w:r w:rsidR="00A74802" w:rsidRPr="00133F02">
        <w:rPr>
          <w:rFonts w:cstheme="minorHAnsi"/>
          <w:color w:val="000000" w:themeColor="text1"/>
          <w:lang w:eastAsia="en-NZ"/>
        </w:rPr>
        <w:t xml:space="preserve">harge </w:t>
      </w:r>
      <w:r w:rsidR="008556F4" w:rsidRPr="00133F02">
        <w:rPr>
          <w:rFonts w:cstheme="minorHAnsi"/>
          <w:color w:val="000000" w:themeColor="text1"/>
          <w:lang w:eastAsia="en-NZ"/>
        </w:rPr>
        <w:t>r</w:t>
      </w:r>
      <w:r w:rsidR="00A74802" w:rsidRPr="00133F02">
        <w:rPr>
          <w:rFonts w:cstheme="minorHAnsi"/>
          <w:color w:val="000000" w:themeColor="text1"/>
          <w:lang w:eastAsia="en-NZ"/>
        </w:rPr>
        <w:t>egulations, affordability could get w</w:t>
      </w:r>
      <w:r w:rsidR="001D7428" w:rsidRPr="00133F02">
        <w:rPr>
          <w:rFonts w:cstheme="minorHAnsi"/>
          <w:color w:val="000000" w:themeColor="text1"/>
          <w:lang w:eastAsia="en-NZ"/>
        </w:rPr>
        <w:t xml:space="preserve">orse for some </w:t>
      </w:r>
      <w:r w:rsidR="00C72C51" w:rsidRPr="00133F02">
        <w:rPr>
          <w:rFonts w:cstheme="minorHAnsi"/>
          <w:color w:val="000000" w:themeColor="text1"/>
          <w:lang w:eastAsia="en-NZ"/>
        </w:rPr>
        <w:t xml:space="preserve">‘have not’ </w:t>
      </w:r>
      <w:r w:rsidR="001D7428" w:rsidRPr="00133F02">
        <w:rPr>
          <w:rFonts w:cstheme="minorHAnsi"/>
          <w:color w:val="000000" w:themeColor="text1"/>
          <w:lang w:eastAsia="en-NZ"/>
        </w:rPr>
        <w:t>customers.</w:t>
      </w:r>
      <w:r w:rsidR="00A74802" w:rsidRPr="00133F02">
        <w:rPr>
          <w:rFonts w:cstheme="minorHAnsi"/>
          <w:color w:val="000000" w:themeColor="text1"/>
          <w:lang w:eastAsia="en-NZ"/>
        </w:rPr>
        <w:t xml:space="preserve"> </w:t>
      </w:r>
      <w:r w:rsidR="006024AB" w:rsidRPr="00133F02">
        <w:rPr>
          <w:rFonts w:cstheme="minorHAnsi"/>
          <w:color w:val="000000" w:themeColor="text1"/>
          <w:lang w:eastAsia="en-NZ"/>
        </w:rPr>
        <w:t>The New Zealand Institute of Economic Research h</w:t>
      </w:r>
      <w:r w:rsidR="00A74802" w:rsidRPr="00133F02">
        <w:rPr>
          <w:rFonts w:cstheme="minorHAnsi"/>
          <w:color w:val="000000" w:themeColor="text1"/>
          <w:lang w:eastAsia="en-NZ"/>
        </w:rPr>
        <w:t>as estimated that</w:t>
      </w:r>
      <w:r w:rsidR="002965AD" w:rsidRPr="00133F02">
        <w:rPr>
          <w:rFonts w:cstheme="minorHAnsi"/>
          <w:color w:val="000000" w:themeColor="text1"/>
          <w:lang w:eastAsia="en-NZ"/>
        </w:rPr>
        <w:t>,</w:t>
      </w:r>
      <w:r w:rsidR="00A74802" w:rsidRPr="00133F02">
        <w:rPr>
          <w:rFonts w:cstheme="minorHAnsi"/>
          <w:color w:val="000000" w:themeColor="text1"/>
          <w:lang w:eastAsia="en-NZ"/>
        </w:rPr>
        <w:t xml:space="preserve"> within ten years, customers without solar panels could be paying an </w:t>
      </w:r>
      <w:r w:rsidR="00A74802" w:rsidRPr="00133F02">
        <w:rPr>
          <w:rFonts w:cstheme="minorHAnsi"/>
          <w:b/>
          <w:color w:val="000000" w:themeColor="text1"/>
          <w:lang w:eastAsia="en-NZ"/>
        </w:rPr>
        <w:t>extra 10</w:t>
      </w:r>
      <w:r w:rsidR="00EA2308" w:rsidRPr="00133F02">
        <w:rPr>
          <w:rFonts w:cstheme="minorHAnsi"/>
          <w:b/>
          <w:color w:val="000000" w:themeColor="text1"/>
          <w:lang w:eastAsia="en-NZ"/>
        </w:rPr>
        <w:t>%</w:t>
      </w:r>
      <w:r w:rsidR="00A74802" w:rsidRPr="00133F02">
        <w:rPr>
          <w:rFonts w:cstheme="minorHAnsi"/>
          <w:b/>
          <w:color w:val="000000" w:themeColor="text1"/>
          <w:lang w:eastAsia="en-NZ"/>
        </w:rPr>
        <w:t xml:space="preserve"> per year.</w:t>
      </w:r>
      <w:r w:rsidR="00133F02">
        <w:rPr>
          <w:rStyle w:val="FootnoteReference"/>
          <w:rFonts w:cstheme="minorHAnsi"/>
          <w:b/>
          <w:color w:val="000000" w:themeColor="text1"/>
          <w:lang w:eastAsia="en-NZ"/>
        </w:rPr>
        <w:footnoteReference w:id="7"/>
      </w:r>
    </w:p>
    <w:p w14:paraId="468ACAEE" w14:textId="3B281F5B" w:rsidR="00A74802" w:rsidRPr="00133F02" w:rsidRDefault="00A74802" w:rsidP="009E312C">
      <w:pPr>
        <w:pStyle w:val="ListParagraph"/>
        <w:widowControl w:val="0"/>
        <w:numPr>
          <w:ilvl w:val="0"/>
          <w:numId w:val="62"/>
        </w:numPr>
        <w:ind w:left="851" w:hanging="425"/>
        <w:contextualSpacing w:val="0"/>
        <w:rPr>
          <w:rFonts w:cstheme="minorHAnsi"/>
          <w:color w:val="000000" w:themeColor="text1"/>
          <w:lang w:eastAsia="en-NZ"/>
        </w:rPr>
      </w:pPr>
      <w:r w:rsidRPr="00133F02">
        <w:rPr>
          <w:rFonts w:cstheme="minorHAnsi"/>
          <w:color w:val="000000" w:themeColor="text1"/>
          <w:lang w:eastAsia="en-NZ"/>
        </w:rPr>
        <w:t>To address future affordability concerns</w:t>
      </w:r>
      <w:r w:rsidR="002965AD" w:rsidRPr="00133F02">
        <w:rPr>
          <w:rFonts w:cstheme="minorHAnsi"/>
          <w:color w:val="000000" w:themeColor="text1"/>
          <w:lang w:eastAsia="en-NZ"/>
        </w:rPr>
        <w:t>,</w:t>
      </w:r>
      <w:r w:rsidRPr="00133F02">
        <w:rPr>
          <w:rFonts w:cstheme="minorHAnsi"/>
          <w:color w:val="000000" w:themeColor="text1"/>
          <w:lang w:eastAsia="en-NZ"/>
        </w:rPr>
        <w:t xml:space="preserve"> the ENA is leading an industry effort to reform </w:t>
      </w:r>
      <w:r w:rsidRPr="00133F02">
        <w:rPr>
          <w:rFonts w:cstheme="minorHAnsi"/>
          <w:color w:val="000000" w:themeColor="text1"/>
          <w:lang w:eastAsia="en-NZ"/>
        </w:rPr>
        <w:lastRenderedPageBreak/>
        <w:t>network</w:t>
      </w:r>
      <w:r w:rsidR="001D7428" w:rsidRPr="00133F02">
        <w:rPr>
          <w:rFonts w:cstheme="minorHAnsi"/>
          <w:color w:val="000000" w:themeColor="text1"/>
          <w:lang w:eastAsia="en-NZ"/>
        </w:rPr>
        <w:t xml:space="preserve"> prices. </w:t>
      </w:r>
      <w:r w:rsidR="002965AD" w:rsidRPr="00133F02">
        <w:rPr>
          <w:rFonts w:cstheme="minorHAnsi"/>
          <w:color w:val="000000" w:themeColor="text1"/>
          <w:lang w:eastAsia="en-NZ"/>
        </w:rPr>
        <w:t>Members</w:t>
      </w:r>
      <w:r w:rsidRPr="00133F02">
        <w:rPr>
          <w:rFonts w:cstheme="minorHAnsi"/>
          <w:color w:val="000000" w:themeColor="text1"/>
          <w:lang w:eastAsia="en-NZ"/>
        </w:rPr>
        <w:t xml:space="preserve"> are aiming to implement more cost-reflective, service-based prices that harness the capability of smart meters to better reflect the struc</w:t>
      </w:r>
      <w:r w:rsidR="001D7428" w:rsidRPr="00133F02">
        <w:rPr>
          <w:rFonts w:cstheme="minorHAnsi"/>
          <w:color w:val="000000" w:themeColor="text1"/>
          <w:lang w:eastAsia="en-NZ"/>
        </w:rPr>
        <w:t>ture of our costs to consumers.</w:t>
      </w:r>
      <w:r w:rsidRPr="00133F02">
        <w:rPr>
          <w:rFonts w:cstheme="minorHAnsi"/>
          <w:color w:val="000000" w:themeColor="text1"/>
          <w:lang w:eastAsia="en-NZ"/>
        </w:rPr>
        <w:t xml:space="preserve"> In this reform effort, the ENA recognises that changes in pricing structures can be very disruptive</w:t>
      </w:r>
      <w:r w:rsidR="00154E05" w:rsidRPr="00133F02">
        <w:rPr>
          <w:rFonts w:cstheme="minorHAnsi"/>
          <w:color w:val="000000" w:themeColor="text1"/>
          <w:lang w:eastAsia="en-NZ"/>
        </w:rPr>
        <w:t>.</w:t>
      </w:r>
      <w:r w:rsidRPr="00133F02">
        <w:rPr>
          <w:rFonts w:cstheme="minorHAnsi"/>
          <w:color w:val="000000" w:themeColor="text1"/>
          <w:lang w:eastAsia="en-NZ"/>
        </w:rPr>
        <w:t xml:space="preserve"> </w:t>
      </w:r>
      <w:r w:rsidR="00154E05" w:rsidRPr="00133F02">
        <w:rPr>
          <w:rFonts w:cstheme="minorHAnsi"/>
          <w:color w:val="000000" w:themeColor="text1"/>
          <w:lang w:eastAsia="en-NZ"/>
        </w:rPr>
        <w:t>T</w:t>
      </w:r>
      <w:r w:rsidRPr="00133F02">
        <w:rPr>
          <w:rFonts w:cstheme="minorHAnsi"/>
          <w:color w:val="000000" w:themeColor="text1"/>
          <w:lang w:eastAsia="en-NZ"/>
        </w:rPr>
        <w:t>ransition paths may be required so that consumers can adjust to them.  We are committed to introducing pricing reform from 1 April 2020</w:t>
      </w:r>
      <w:r w:rsidR="00154E05" w:rsidRPr="00133F02">
        <w:rPr>
          <w:rFonts w:cstheme="minorHAnsi"/>
          <w:color w:val="000000" w:themeColor="text1"/>
          <w:lang w:eastAsia="en-NZ"/>
        </w:rPr>
        <w:t>.</w:t>
      </w:r>
      <w:r w:rsidRPr="00133F02">
        <w:rPr>
          <w:rFonts w:cstheme="minorHAnsi"/>
          <w:color w:val="000000" w:themeColor="text1"/>
          <w:lang w:eastAsia="en-NZ"/>
        </w:rPr>
        <w:t xml:space="preserve"> </w:t>
      </w:r>
      <w:r w:rsidR="00154E05" w:rsidRPr="00133F02">
        <w:rPr>
          <w:rFonts w:cstheme="minorHAnsi"/>
          <w:color w:val="000000" w:themeColor="text1"/>
          <w:lang w:eastAsia="en-NZ"/>
        </w:rPr>
        <w:t>A</w:t>
      </w:r>
      <w:r w:rsidRPr="00133F02">
        <w:rPr>
          <w:rFonts w:cstheme="minorHAnsi"/>
          <w:color w:val="000000" w:themeColor="text1"/>
          <w:lang w:eastAsia="en-NZ"/>
        </w:rPr>
        <w:t>lthough it is likely to take a multi-year timeframe to reach a final position.</w:t>
      </w:r>
    </w:p>
    <w:p w14:paraId="011F7D8F" w14:textId="190D0984" w:rsidR="00D4124A" w:rsidRPr="001B0D36" w:rsidRDefault="00A74802" w:rsidP="00273087">
      <w:pPr>
        <w:pStyle w:val="ListParagraph"/>
        <w:widowControl w:val="0"/>
        <w:numPr>
          <w:ilvl w:val="0"/>
          <w:numId w:val="62"/>
        </w:numPr>
        <w:spacing w:after="480"/>
        <w:ind w:left="851" w:hanging="425"/>
        <w:jc w:val="both"/>
        <w:rPr>
          <w:rFonts w:cstheme="minorHAnsi"/>
          <w:color w:val="000000" w:themeColor="text1"/>
          <w:lang w:eastAsia="en-NZ"/>
        </w:rPr>
      </w:pPr>
      <w:r w:rsidRPr="00A74802">
        <w:rPr>
          <w:rFonts w:cstheme="minorHAnsi"/>
          <w:color w:val="000000" w:themeColor="text1"/>
          <w:lang w:eastAsia="en-NZ"/>
        </w:rPr>
        <w:t xml:space="preserve">Pricing reform needs to be supported by removal or substantial reform of the </w:t>
      </w:r>
      <w:r w:rsidR="001F0313">
        <w:rPr>
          <w:rFonts w:cstheme="minorHAnsi"/>
          <w:color w:val="000000" w:themeColor="text1"/>
          <w:lang w:eastAsia="en-NZ"/>
        </w:rPr>
        <w:t>l</w:t>
      </w:r>
      <w:r w:rsidRPr="00A74802">
        <w:rPr>
          <w:rFonts w:cstheme="minorHAnsi"/>
          <w:color w:val="000000" w:themeColor="text1"/>
          <w:lang w:eastAsia="en-NZ"/>
        </w:rPr>
        <w:t xml:space="preserve">ow </w:t>
      </w:r>
      <w:r w:rsidR="001F0313">
        <w:rPr>
          <w:rFonts w:cstheme="minorHAnsi"/>
          <w:color w:val="000000" w:themeColor="text1"/>
          <w:lang w:eastAsia="en-NZ"/>
        </w:rPr>
        <w:t>f</w:t>
      </w:r>
      <w:r w:rsidRPr="00A74802">
        <w:rPr>
          <w:rFonts w:cstheme="minorHAnsi"/>
          <w:color w:val="000000" w:themeColor="text1"/>
          <w:lang w:eastAsia="en-NZ"/>
        </w:rPr>
        <w:t xml:space="preserve">ixed </w:t>
      </w:r>
      <w:r w:rsidR="001F0313">
        <w:rPr>
          <w:rFonts w:cstheme="minorHAnsi"/>
          <w:color w:val="000000" w:themeColor="text1"/>
          <w:lang w:eastAsia="en-NZ"/>
        </w:rPr>
        <w:t>c</w:t>
      </w:r>
      <w:r w:rsidRPr="00A74802">
        <w:rPr>
          <w:rFonts w:cstheme="minorHAnsi"/>
          <w:color w:val="000000" w:themeColor="text1"/>
          <w:lang w:eastAsia="en-NZ"/>
        </w:rPr>
        <w:t xml:space="preserve">harge </w:t>
      </w:r>
      <w:r w:rsidR="001F0313">
        <w:rPr>
          <w:rFonts w:cstheme="minorHAnsi"/>
          <w:color w:val="000000" w:themeColor="text1"/>
          <w:lang w:eastAsia="en-NZ"/>
        </w:rPr>
        <w:t>r</w:t>
      </w:r>
      <w:r w:rsidRPr="00A74802">
        <w:rPr>
          <w:rFonts w:cstheme="minorHAnsi"/>
          <w:color w:val="000000" w:themeColor="text1"/>
          <w:lang w:eastAsia="en-NZ"/>
        </w:rPr>
        <w:t xml:space="preserve">egulations. These </w:t>
      </w:r>
      <w:r w:rsidR="00595D76">
        <w:rPr>
          <w:rFonts w:cstheme="minorHAnsi"/>
          <w:color w:val="000000" w:themeColor="text1"/>
          <w:lang w:eastAsia="en-NZ"/>
        </w:rPr>
        <w:t xml:space="preserve">poorly-conceived </w:t>
      </w:r>
      <w:r w:rsidR="001F0313">
        <w:rPr>
          <w:rFonts w:cstheme="minorHAnsi"/>
          <w:color w:val="000000" w:themeColor="text1"/>
          <w:lang w:eastAsia="en-NZ"/>
        </w:rPr>
        <w:t>r</w:t>
      </w:r>
      <w:r w:rsidRPr="00A74802">
        <w:rPr>
          <w:rFonts w:cstheme="minorHAnsi"/>
          <w:color w:val="000000" w:themeColor="text1"/>
          <w:lang w:eastAsia="en-NZ"/>
        </w:rPr>
        <w:t>egulations provide real constraints on an efficient and effective price reform process.</w:t>
      </w:r>
      <w:r w:rsidR="000F3A3A">
        <w:rPr>
          <w:rFonts w:cstheme="minorHAnsi"/>
          <w:color w:val="000000" w:themeColor="text1"/>
          <w:lang w:eastAsia="en-NZ"/>
        </w:rPr>
        <w:t xml:space="preserve"> (See our answer to question 30).</w:t>
      </w:r>
    </w:p>
    <w:p w14:paraId="2A325F7C" w14:textId="0E342296" w:rsidR="00D4124A" w:rsidRPr="00D25352" w:rsidRDefault="00D4124A" w:rsidP="00CE0DBE">
      <w:pPr>
        <w:pStyle w:val="Heading2"/>
        <w:rPr>
          <w:color w:val="000000" w:themeColor="text1"/>
          <w:sz w:val="24"/>
          <w:szCs w:val="24"/>
        </w:rPr>
      </w:pPr>
      <w:r w:rsidRPr="00D25352">
        <w:rPr>
          <w:color w:val="000000" w:themeColor="text1"/>
          <w:sz w:val="24"/>
          <w:szCs w:val="24"/>
        </w:rPr>
        <w:t>Affordability</w:t>
      </w:r>
    </w:p>
    <w:p w14:paraId="31A18FA2" w14:textId="6ACE0B8F" w:rsidR="001357E3" w:rsidRPr="00F259E4" w:rsidRDefault="00B26EEE" w:rsidP="001D7428">
      <w:pPr>
        <w:pStyle w:val="ListParagraph"/>
        <w:widowControl w:val="0"/>
        <w:numPr>
          <w:ilvl w:val="0"/>
          <w:numId w:val="1"/>
        </w:numPr>
        <w:ind w:left="426" w:hanging="426"/>
        <w:contextualSpacing w:val="0"/>
        <w:jc w:val="both"/>
        <w:rPr>
          <w:rFonts w:cstheme="minorHAnsi"/>
          <w:i/>
          <w:color w:val="000000" w:themeColor="text1"/>
          <w:lang w:eastAsia="en-NZ"/>
        </w:rPr>
      </w:pPr>
      <w:r w:rsidRPr="00F259E4">
        <w:rPr>
          <w:rStyle w:val="Strong"/>
          <w:rFonts w:cstheme="minorHAnsi"/>
          <w:i w:val="0"/>
          <w:color w:val="000000" w:themeColor="text1"/>
          <w:sz w:val="22"/>
          <w:szCs w:val="22"/>
        </w:rPr>
        <w:t>What are your views on the assessment of the size of the affordability problem?</w:t>
      </w:r>
    </w:p>
    <w:p w14:paraId="6AC09B8B" w14:textId="50316FD4" w:rsidR="00263687" w:rsidRPr="00F259E4" w:rsidRDefault="00765A37" w:rsidP="00273087">
      <w:pPr>
        <w:pStyle w:val="ListParagraph"/>
        <w:widowControl w:val="0"/>
        <w:numPr>
          <w:ilvl w:val="0"/>
          <w:numId w:val="9"/>
        </w:numPr>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ENA agrees with the Panel’s assessment that energy affordability is a significant issue. </w:t>
      </w:r>
      <w:r w:rsidR="00AF4AEA" w:rsidRPr="00F259E4">
        <w:rPr>
          <w:rFonts w:cstheme="minorHAnsi"/>
          <w:color w:val="000000" w:themeColor="text1"/>
          <w:lang w:eastAsia="en-NZ"/>
        </w:rPr>
        <w:t>While it doesn’t have its own direct evidence (given that</w:t>
      </w:r>
      <w:r w:rsidR="001B5FD2" w:rsidRPr="00F259E4">
        <w:rPr>
          <w:rFonts w:cstheme="minorHAnsi"/>
          <w:color w:val="000000" w:themeColor="text1"/>
          <w:lang w:eastAsia="en-NZ"/>
        </w:rPr>
        <w:t xml:space="preserve"> the primary responsibility with billing rests in most cases with the retailer), </w:t>
      </w:r>
      <w:r w:rsidR="00766487" w:rsidRPr="00F259E4">
        <w:rPr>
          <w:rFonts w:cstheme="minorHAnsi"/>
          <w:color w:val="000000" w:themeColor="text1"/>
          <w:lang w:eastAsia="en-NZ"/>
        </w:rPr>
        <w:t>ENA is</w:t>
      </w:r>
      <w:r w:rsidR="00BF394F" w:rsidRPr="00F259E4">
        <w:rPr>
          <w:rFonts w:cstheme="minorHAnsi"/>
          <w:color w:val="000000" w:themeColor="text1"/>
          <w:lang w:eastAsia="en-NZ"/>
        </w:rPr>
        <w:t xml:space="preserve"> aware that some </w:t>
      </w:r>
      <w:r w:rsidR="00CB45D4" w:rsidRPr="00F259E4">
        <w:rPr>
          <w:rFonts w:cstheme="minorHAnsi"/>
          <w:color w:val="000000" w:themeColor="text1"/>
          <w:lang w:eastAsia="en-NZ"/>
        </w:rPr>
        <w:t xml:space="preserve">consumers </w:t>
      </w:r>
      <w:r w:rsidR="00BF394F" w:rsidRPr="00F259E4">
        <w:rPr>
          <w:rFonts w:cstheme="minorHAnsi"/>
          <w:color w:val="000000" w:themeColor="text1"/>
          <w:lang w:eastAsia="en-NZ"/>
        </w:rPr>
        <w:t>struggle to pay their electricity bills.</w:t>
      </w:r>
      <w:r w:rsidR="00631D2C" w:rsidRPr="00F259E4">
        <w:rPr>
          <w:rFonts w:cstheme="minorHAnsi"/>
          <w:color w:val="000000" w:themeColor="text1"/>
          <w:lang w:eastAsia="en-NZ"/>
        </w:rPr>
        <w:t xml:space="preserve"> </w:t>
      </w:r>
    </w:p>
    <w:p w14:paraId="7BF93063" w14:textId="580E75C0" w:rsidR="00263687" w:rsidRPr="00F259E4" w:rsidRDefault="00631D2C" w:rsidP="00273087">
      <w:pPr>
        <w:pStyle w:val="ListParagraph"/>
        <w:widowControl w:val="0"/>
        <w:numPr>
          <w:ilvl w:val="0"/>
          <w:numId w:val="9"/>
        </w:numPr>
        <w:ind w:left="851" w:hanging="425"/>
        <w:contextualSpacing w:val="0"/>
        <w:rPr>
          <w:rFonts w:cstheme="minorHAnsi"/>
          <w:bCs/>
          <w:color w:val="000000" w:themeColor="text1"/>
          <w:lang w:eastAsia="en-NZ"/>
        </w:rPr>
      </w:pPr>
      <w:r w:rsidRPr="00F259E4">
        <w:rPr>
          <w:rFonts w:cstheme="minorHAnsi"/>
          <w:color w:val="000000" w:themeColor="text1"/>
          <w:lang w:eastAsia="en-NZ"/>
        </w:rPr>
        <w:t>However</w:t>
      </w:r>
      <w:r w:rsidR="005B6832" w:rsidRPr="00F259E4">
        <w:rPr>
          <w:rFonts w:cstheme="minorHAnsi"/>
          <w:color w:val="000000" w:themeColor="text1"/>
          <w:lang w:eastAsia="en-NZ"/>
        </w:rPr>
        <w:t>,</w:t>
      </w:r>
      <w:r w:rsidR="00225AC1" w:rsidRPr="00F259E4">
        <w:rPr>
          <w:rFonts w:cstheme="minorHAnsi"/>
          <w:color w:val="000000" w:themeColor="text1"/>
          <w:lang w:eastAsia="en-NZ"/>
        </w:rPr>
        <w:t xml:space="preserve"> </w:t>
      </w:r>
      <w:r w:rsidR="002D2F30" w:rsidRPr="00F259E4">
        <w:rPr>
          <w:rFonts w:cstheme="minorHAnsi"/>
          <w:color w:val="000000" w:themeColor="text1"/>
          <w:lang w:eastAsia="en-NZ"/>
        </w:rPr>
        <w:t>ENA</w:t>
      </w:r>
      <w:r w:rsidR="00263687" w:rsidRPr="00F259E4">
        <w:rPr>
          <w:rFonts w:cstheme="minorHAnsi"/>
          <w:color w:val="000000" w:themeColor="text1"/>
          <w:lang w:eastAsia="en-NZ"/>
        </w:rPr>
        <w:t xml:space="preserve"> agree</w:t>
      </w:r>
      <w:r w:rsidR="002D2F30" w:rsidRPr="00F259E4">
        <w:rPr>
          <w:rFonts w:cstheme="minorHAnsi"/>
          <w:color w:val="000000" w:themeColor="text1"/>
          <w:lang w:eastAsia="en-NZ"/>
        </w:rPr>
        <w:t>s</w:t>
      </w:r>
      <w:r w:rsidR="00263687" w:rsidRPr="00F259E4">
        <w:rPr>
          <w:rFonts w:cstheme="minorHAnsi"/>
          <w:color w:val="000000" w:themeColor="text1"/>
          <w:lang w:eastAsia="en-NZ"/>
        </w:rPr>
        <w:t xml:space="preserve"> that not all low-income households are in energy hardship, as some might have low energy needs or alternative energy sources. </w:t>
      </w:r>
    </w:p>
    <w:p w14:paraId="3DC83A5D" w14:textId="6D3760D2" w:rsidR="00E42ED7" w:rsidRPr="00F259E4" w:rsidRDefault="00E42ED7" w:rsidP="00273087">
      <w:pPr>
        <w:pStyle w:val="ListParagraph"/>
        <w:widowControl w:val="0"/>
        <w:numPr>
          <w:ilvl w:val="0"/>
          <w:numId w:val="9"/>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 xml:space="preserve">ENA </w:t>
      </w:r>
      <w:r w:rsidR="00F37775" w:rsidRPr="00F259E4">
        <w:rPr>
          <w:rFonts w:cstheme="minorHAnsi"/>
          <w:bCs/>
          <w:color w:val="000000" w:themeColor="text1"/>
          <w:lang w:eastAsia="en-NZ"/>
        </w:rPr>
        <w:t xml:space="preserve">asks </w:t>
      </w:r>
      <w:r w:rsidR="008015F8" w:rsidRPr="00F259E4">
        <w:rPr>
          <w:rFonts w:cstheme="minorHAnsi"/>
          <w:bCs/>
          <w:color w:val="000000" w:themeColor="text1"/>
          <w:lang w:eastAsia="en-NZ"/>
        </w:rPr>
        <w:t xml:space="preserve">that the meaning of </w:t>
      </w:r>
      <w:r w:rsidR="00F37775" w:rsidRPr="00F259E4">
        <w:rPr>
          <w:rFonts w:cstheme="minorHAnsi"/>
          <w:bCs/>
          <w:color w:val="000000" w:themeColor="text1"/>
          <w:lang w:eastAsia="en-NZ"/>
        </w:rPr>
        <w:t>‘</w:t>
      </w:r>
      <w:r w:rsidR="008015F8" w:rsidRPr="00F259E4">
        <w:rPr>
          <w:rFonts w:cstheme="minorHAnsi"/>
          <w:bCs/>
          <w:color w:val="000000" w:themeColor="text1"/>
          <w:lang w:eastAsia="en-NZ"/>
        </w:rPr>
        <w:t>vulnerable consumer</w:t>
      </w:r>
      <w:r w:rsidR="00F37775" w:rsidRPr="00F259E4">
        <w:rPr>
          <w:rFonts w:cstheme="minorHAnsi"/>
          <w:bCs/>
          <w:color w:val="000000" w:themeColor="text1"/>
          <w:lang w:eastAsia="en-NZ"/>
        </w:rPr>
        <w:t>’</w:t>
      </w:r>
      <w:r w:rsidR="008015F8" w:rsidRPr="00F259E4">
        <w:rPr>
          <w:rFonts w:cstheme="minorHAnsi"/>
          <w:bCs/>
          <w:color w:val="000000" w:themeColor="text1"/>
          <w:lang w:eastAsia="en-NZ"/>
        </w:rPr>
        <w:t xml:space="preserve"> or </w:t>
      </w:r>
      <w:r w:rsidR="00F37775" w:rsidRPr="00F259E4">
        <w:rPr>
          <w:rFonts w:cstheme="minorHAnsi"/>
          <w:bCs/>
          <w:color w:val="000000" w:themeColor="text1"/>
          <w:lang w:eastAsia="en-NZ"/>
        </w:rPr>
        <w:t>‘</w:t>
      </w:r>
      <w:r w:rsidR="008015F8" w:rsidRPr="00F259E4">
        <w:rPr>
          <w:rFonts w:cstheme="minorHAnsi"/>
          <w:bCs/>
          <w:color w:val="000000" w:themeColor="text1"/>
          <w:lang w:eastAsia="en-NZ"/>
        </w:rPr>
        <w:t>energy hardship</w:t>
      </w:r>
      <w:r w:rsidR="00F37775" w:rsidRPr="00F259E4">
        <w:rPr>
          <w:rFonts w:cstheme="minorHAnsi"/>
          <w:bCs/>
          <w:color w:val="000000" w:themeColor="text1"/>
          <w:lang w:eastAsia="en-NZ"/>
        </w:rPr>
        <w:t>’</w:t>
      </w:r>
      <w:r w:rsidR="008015F8" w:rsidRPr="00F259E4">
        <w:rPr>
          <w:rFonts w:cstheme="minorHAnsi"/>
          <w:bCs/>
          <w:color w:val="000000" w:themeColor="text1"/>
          <w:lang w:eastAsia="en-NZ"/>
        </w:rPr>
        <w:t xml:space="preserve"> is clearly defined</w:t>
      </w:r>
      <w:r w:rsidR="002150B4" w:rsidRPr="00F259E4">
        <w:rPr>
          <w:rFonts w:cstheme="minorHAnsi"/>
          <w:bCs/>
          <w:color w:val="000000" w:themeColor="text1"/>
          <w:lang w:eastAsia="en-NZ"/>
        </w:rPr>
        <w:t xml:space="preserve"> by government in consultation with the electricity sector. We understand that </w:t>
      </w:r>
      <w:r w:rsidR="005166DF">
        <w:rPr>
          <w:rFonts w:cstheme="minorHAnsi"/>
          <w:bCs/>
          <w:color w:val="000000" w:themeColor="text1"/>
          <w:lang w:eastAsia="en-NZ"/>
        </w:rPr>
        <w:t>the Electricity Retailers Association of New Zealand (ERANZ) i</w:t>
      </w:r>
      <w:r w:rsidR="002150B4" w:rsidRPr="00F259E4">
        <w:rPr>
          <w:rFonts w:cstheme="minorHAnsi"/>
          <w:bCs/>
          <w:color w:val="000000" w:themeColor="text1"/>
          <w:lang w:eastAsia="en-NZ"/>
        </w:rPr>
        <w:t>s carrying out international research into a suitable definition</w:t>
      </w:r>
      <w:r w:rsidR="00F37775" w:rsidRPr="00F259E4">
        <w:rPr>
          <w:rFonts w:cstheme="minorHAnsi"/>
          <w:bCs/>
          <w:color w:val="000000" w:themeColor="text1"/>
          <w:lang w:eastAsia="en-NZ"/>
        </w:rPr>
        <w:t xml:space="preserve"> and look forward to discussing this with </w:t>
      </w:r>
      <w:r w:rsidR="005166DF">
        <w:rPr>
          <w:rFonts w:cstheme="minorHAnsi"/>
          <w:bCs/>
          <w:color w:val="000000" w:themeColor="text1"/>
          <w:lang w:eastAsia="en-NZ"/>
        </w:rPr>
        <w:t>ERANZ</w:t>
      </w:r>
      <w:r w:rsidR="002150B4" w:rsidRPr="00F259E4">
        <w:rPr>
          <w:rFonts w:cstheme="minorHAnsi"/>
          <w:bCs/>
          <w:color w:val="000000" w:themeColor="text1"/>
          <w:lang w:eastAsia="en-NZ"/>
        </w:rPr>
        <w:t>.</w:t>
      </w:r>
      <w:r w:rsidR="008015F8" w:rsidRPr="00F259E4">
        <w:rPr>
          <w:rFonts w:cstheme="minorHAnsi"/>
          <w:bCs/>
          <w:color w:val="000000" w:themeColor="text1"/>
          <w:lang w:eastAsia="en-NZ"/>
        </w:rPr>
        <w:t xml:space="preserve"> </w:t>
      </w:r>
    </w:p>
    <w:p w14:paraId="7304211C" w14:textId="4E33F2B1" w:rsidR="00434F7C" w:rsidRPr="00F259E4" w:rsidRDefault="00434F7C" w:rsidP="00263687">
      <w:pPr>
        <w:pStyle w:val="ListParagraph"/>
        <w:widowControl w:val="0"/>
        <w:ind w:left="810"/>
        <w:jc w:val="both"/>
        <w:rPr>
          <w:rFonts w:cstheme="minorHAnsi"/>
          <w:bCs/>
          <w:color w:val="000000" w:themeColor="text1"/>
          <w:highlight w:val="yellow"/>
          <w:lang w:eastAsia="en-NZ"/>
        </w:rPr>
      </w:pPr>
    </w:p>
    <w:p w14:paraId="2C5A9834" w14:textId="5DB299DC" w:rsidR="00E31ED2" w:rsidRPr="00F259E4" w:rsidRDefault="00941A03" w:rsidP="001D7428">
      <w:pPr>
        <w:pStyle w:val="ListParagraph"/>
        <w:numPr>
          <w:ilvl w:val="0"/>
          <w:numId w:val="1"/>
        </w:numPr>
        <w:ind w:left="426" w:hanging="426"/>
        <w:contextualSpacing w:val="0"/>
        <w:jc w:val="both"/>
        <w:rPr>
          <w:rFonts w:cstheme="minorHAnsi"/>
          <w:b/>
          <w:bCs/>
          <w:color w:val="000000" w:themeColor="text1"/>
          <w:lang w:eastAsia="en-NZ"/>
        </w:rPr>
      </w:pPr>
      <w:r w:rsidRPr="00F259E4">
        <w:rPr>
          <w:rFonts w:cstheme="minorHAnsi"/>
          <w:b/>
          <w:bCs/>
          <w:color w:val="000000" w:themeColor="text1"/>
          <w:lang w:eastAsia="en-NZ"/>
        </w:rPr>
        <w:t>What are your views of the assessment of the causes of the affordability problem?</w:t>
      </w:r>
    </w:p>
    <w:p w14:paraId="5F48DE04" w14:textId="51B6C8AB" w:rsidR="00EC06EC" w:rsidRPr="00F259E4" w:rsidRDefault="00EC06EC" w:rsidP="00273087">
      <w:pPr>
        <w:pStyle w:val="ListParagraph"/>
        <w:widowControl w:val="0"/>
        <w:numPr>
          <w:ilvl w:val="0"/>
          <w:numId w:val="10"/>
        </w:numPr>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ENA agrees with the </w:t>
      </w:r>
      <w:r w:rsidR="007F487F">
        <w:rPr>
          <w:rFonts w:cstheme="minorHAnsi"/>
          <w:color w:val="000000" w:themeColor="text1"/>
          <w:lang w:eastAsia="en-NZ"/>
        </w:rPr>
        <w:t>P</w:t>
      </w:r>
      <w:r w:rsidR="00973721" w:rsidRPr="00F259E4">
        <w:rPr>
          <w:rFonts w:cstheme="minorHAnsi"/>
          <w:color w:val="000000" w:themeColor="text1"/>
          <w:lang w:eastAsia="en-NZ"/>
        </w:rPr>
        <w:t xml:space="preserve">anel’s </w:t>
      </w:r>
      <w:r w:rsidRPr="00F259E4">
        <w:rPr>
          <w:rFonts w:cstheme="minorHAnsi"/>
          <w:color w:val="000000" w:themeColor="text1"/>
          <w:lang w:eastAsia="en-NZ"/>
        </w:rPr>
        <w:t>assessment of the affordability problem.</w:t>
      </w:r>
    </w:p>
    <w:p w14:paraId="2D9ED31B" w14:textId="4CEF08A0" w:rsidR="00EC06EC" w:rsidRPr="00F259E4" w:rsidRDefault="00EC06EC" w:rsidP="00273087">
      <w:pPr>
        <w:pStyle w:val="ListParagraph"/>
        <w:widowControl w:val="0"/>
        <w:numPr>
          <w:ilvl w:val="0"/>
          <w:numId w:val="10"/>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In particular, ENA agrees that some consumers are paying relatively too much for their electricity due to the emergence of a ‘two-tier’ market, late payment penalties, poor understanding of the various plans and charges, </w:t>
      </w:r>
      <w:r w:rsidR="00B50BD8">
        <w:rPr>
          <w:rFonts w:cstheme="minorHAnsi"/>
          <w:color w:val="000000" w:themeColor="text1"/>
          <w:lang w:eastAsia="en-NZ"/>
        </w:rPr>
        <w:t xml:space="preserve">and </w:t>
      </w:r>
      <w:r w:rsidRPr="00F259E4">
        <w:rPr>
          <w:rFonts w:cstheme="minorHAnsi"/>
          <w:color w:val="000000" w:themeColor="text1"/>
          <w:lang w:eastAsia="en-NZ"/>
        </w:rPr>
        <w:t>limited choice for some consumers</w:t>
      </w:r>
      <w:r w:rsidR="00B6080A" w:rsidRPr="00F259E4">
        <w:rPr>
          <w:rFonts w:cstheme="minorHAnsi"/>
          <w:color w:val="000000" w:themeColor="text1"/>
          <w:lang w:eastAsia="en-NZ"/>
        </w:rPr>
        <w:t xml:space="preserve"> in financial hardship</w:t>
      </w:r>
      <w:r w:rsidR="00B50BD8">
        <w:rPr>
          <w:rFonts w:cstheme="minorHAnsi"/>
          <w:color w:val="000000" w:themeColor="text1"/>
          <w:lang w:eastAsia="en-NZ"/>
        </w:rPr>
        <w:t xml:space="preserve">. </w:t>
      </w:r>
    </w:p>
    <w:p w14:paraId="1F39B4C8" w14:textId="6C3D2FBF" w:rsidR="003037E2" w:rsidRPr="00F259E4" w:rsidRDefault="003F77C1" w:rsidP="00273087">
      <w:pPr>
        <w:pStyle w:val="ListParagraph"/>
        <w:widowControl w:val="0"/>
        <w:numPr>
          <w:ilvl w:val="0"/>
          <w:numId w:val="10"/>
        </w:numPr>
        <w:ind w:left="851" w:hanging="425"/>
        <w:contextualSpacing w:val="0"/>
        <w:rPr>
          <w:rFonts w:cstheme="minorHAnsi"/>
          <w:color w:val="000000" w:themeColor="text1"/>
          <w:lang w:eastAsia="en-NZ"/>
        </w:rPr>
      </w:pPr>
      <w:r w:rsidRPr="00F259E4">
        <w:rPr>
          <w:rFonts w:cstheme="minorHAnsi"/>
          <w:color w:val="000000" w:themeColor="text1"/>
          <w:lang w:eastAsia="en-NZ"/>
        </w:rPr>
        <w:t>The l</w:t>
      </w:r>
      <w:r w:rsidR="005A001F" w:rsidRPr="00F259E4">
        <w:rPr>
          <w:rFonts w:cstheme="minorHAnsi"/>
          <w:color w:val="000000" w:themeColor="text1"/>
          <w:lang w:eastAsia="en-NZ"/>
        </w:rPr>
        <w:t>ack of awareness, knowledge</w:t>
      </w:r>
      <w:r w:rsidR="00411411" w:rsidRPr="00F259E4">
        <w:rPr>
          <w:rFonts w:cstheme="minorHAnsi"/>
          <w:color w:val="000000" w:themeColor="text1"/>
          <w:lang w:eastAsia="en-NZ"/>
        </w:rPr>
        <w:t>, access to information</w:t>
      </w:r>
      <w:r w:rsidR="005A001F" w:rsidRPr="00F259E4">
        <w:rPr>
          <w:rFonts w:cstheme="minorHAnsi"/>
          <w:color w:val="000000" w:themeColor="text1"/>
          <w:lang w:eastAsia="en-NZ"/>
        </w:rPr>
        <w:t xml:space="preserve"> or ability</w:t>
      </w:r>
      <w:r w:rsidR="005151DB" w:rsidRPr="00F259E4">
        <w:rPr>
          <w:rFonts w:cstheme="minorHAnsi"/>
          <w:color w:val="000000" w:themeColor="text1"/>
          <w:lang w:eastAsia="en-NZ"/>
        </w:rPr>
        <w:t>/willingness</w:t>
      </w:r>
      <w:r w:rsidR="005A001F" w:rsidRPr="00F259E4">
        <w:rPr>
          <w:rFonts w:cstheme="minorHAnsi"/>
          <w:color w:val="000000" w:themeColor="text1"/>
          <w:lang w:eastAsia="en-NZ"/>
        </w:rPr>
        <w:t xml:space="preserve"> to engage with the competitive market</w:t>
      </w:r>
      <w:r w:rsidR="00357520" w:rsidRPr="00F259E4">
        <w:rPr>
          <w:rFonts w:cstheme="minorHAnsi"/>
          <w:color w:val="000000" w:themeColor="text1"/>
          <w:lang w:eastAsia="en-NZ"/>
        </w:rPr>
        <w:t xml:space="preserve"> </w:t>
      </w:r>
      <w:r w:rsidRPr="00F259E4">
        <w:rPr>
          <w:rFonts w:cstheme="minorHAnsi"/>
          <w:color w:val="000000" w:themeColor="text1"/>
          <w:lang w:eastAsia="en-NZ"/>
        </w:rPr>
        <w:t>on the part of</w:t>
      </w:r>
      <w:r w:rsidR="006A0E49" w:rsidRPr="00F259E4">
        <w:rPr>
          <w:rFonts w:cstheme="minorHAnsi"/>
          <w:color w:val="000000" w:themeColor="text1"/>
          <w:lang w:eastAsia="en-NZ"/>
        </w:rPr>
        <w:t xml:space="preserve"> some</w:t>
      </w:r>
      <w:r w:rsidR="000B660D" w:rsidRPr="00F259E4">
        <w:rPr>
          <w:rFonts w:cstheme="minorHAnsi"/>
          <w:color w:val="000000" w:themeColor="text1"/>
          <w:lang w:eastAsia="en-NZ"/>
        </w:rPr>
        <w:t xml:space="preserve"> </w:t>
      </w:r>
      <w:r w:rsidR="005151DB" w:rsidRPr="00F259E4">
        <w:rPr>
          <w:rFonts w:cstheme="minorHAnsi"/>
          <w:color w:val="000000" w:themeColor="text1"/>
          <w:lang w:eastAsia="en-NZ"/>
        </w:rPr>
        <w:t xml:space="preserve">consumers </w:t>
      </w:r>
      <w:r w:rsidR="00357520" w:rsidRPr="00F259E4">
        <w:rPr>
          <w:rFonts w:cstheme="minorHAnsi"/>
          <w:color w:val="000000" w:themeColor="text1"/>
          <w:lang w:eastAsia="en-NZ"/>
        </w:rPr>
        <w:t>contributes to the two</w:t>
      </w:r>
      <w:r w:rsidR="00B6080A" w:rsidRPr="00F259E4">
        <w:rPr>
          <w:rFonts w:cstheme="minorHAnsi"/>
          <w:color w:val="000000" w:themeColor="text1"/>
          <w:lang w:eastAsia="en-NZ"/>
        </w:rPr>
        <w:t>-</w:t>
      </w:r>
      <w:r w:rsidR="00357520" w:rsidRPr="00F259E4">
        <w:rPr>
          <w:rFonts w:cstheme="minorHAnsi"/>
          <w:color w:val="000000" w:themeColor="text1"/>
          <w:lang w:eastAsia="en-NZ"/>
        </w:rPr>
        <w:t>tier market</w:t>
      </w:r>
      <w:r w:rsidR="007F487F">
        <w:rPr>
          <w:rFonts w:cstheme="minorHAnsi"/>
          <w:color w:val="000000" w:themeColor="text1"/>
          <w:lang w:eastAsia="en-NZ"/>
        </w:rPr>
        <w:t>,</w:t>
      </w:r>
      <w:r w:rsidR="00357520" w:rsidRPr="00F259E4">
        <w:rPr>
          <w:rFonts w:cstheme="minorHAnsi"/>
          <w:color w:val="000000" w:themeColor="text1"/>
          <w:lang w:eastAsia="en-NZ"/>
        </w:rPr>
        <w:t xml:space="preserve"> </w:t>
      </w:r>
      <w:r w:rsidR="00A647C0" w:rsidRPr="00F259E4">
        <w:rPr>
          <w:rFonts w:cstheme="minorHAnsi"/>
          <w:color w:val="000000" w:themeColor="text1"/>
          <w:lang w:eastAsia="en-NZ"/>
        </w:rPr>
        <w:t>which</w:t>
      </w:r>
      <w:r w:rsidR="00357520" w:rsidRPr="00F259E4">
        <w:rPr>
          <w:rFonts w:cstheme="minorHAnsi"/>
          <w:color w:val="000000" w:themeColor="text1"/>
          <w:lang w:eastAsia="en-NZ"/>
        </w:rPr>
        <w:t xml:space="preserve"> </w:t>
      </w:r>
      <w:r w:rsidR="00B37D54" w:rsidRPr="00F259E4">
        <w:rPr>
          <w:rFonts w:cstheme="minorHAnsi"/>
          <w:color w:val="000000" w:themeColor="text1"/>
          <w:lang w:eastAsia="en-NZ"/>
        </w:rPr>
        <w:t xml:space="preserve">penalises passive consumers who don’t </w:t>
      </w:r>
      <w:r w:rsidR="000459F6" w:rsidRPr="00F259E4">
        <w:rPr>
          <w:rFonts w:cstheme="minorHAnsi"/>
          <w:color w:val="000000" w:themeColor="text1"/>
          <w:lang w:eastAsia="en-NZ"/>
        </w:rPr>
        <w:t>actively search</w:t>
      </w:r>
      <w:r w:rsidR="00A647C0" w:rsidRPr="00F259E4">
        <w:rPr>
          <w:rFonts w:cstheme="minorHAnsi"/>
          <w:color w:val="000000" w:themeColor="text1"/>
          <w:lang w:eastAsia="en-NZ"/>
        </w:rPr>
        <w:t xml:space="preserve"> for better deals.</w:t>
      </w:r>
      <w:r w:rsidR="006A3A8C" w:rsidRPr="00F259E4">
        <w:rPr>
          <w:rFonts w:cstheme="minorHAnsi"/>
          <w:color w:val="000000" w:themeColor="text1"/>
          <w:lang w:eastAsia="en-NZ"/>
        </w:rPr>
        <w:t xml:space="preserve"> </w:t>
      </w:r>
      <w:r w:rsidR="009B0725" w:rsidRPr="00F259E4">
        <w:rPr>
          <w:rFonts w:cstheme="minorHAnsi"/>
          <w:color w:val="000000" w:themeColor="text1"/>
          <w:lang w:eastAsia="en-NZ"/>
        </w:rPr>
        <w:t xml:space="preserve">(And </w:t>
      </w:r>
      <w:r w:rsidR="00C12A08" w:rsidRPr="00F259E4">
        <w:rPr>
          <w:rFonts w:cstheme="minorHAnsi"/>
          <w:color w:val="000000" w:themeColor="text1"/>
          <w:lang w:eastAsia="en-NZ"/>
        </w:rPr>
        <w:t xml:space="preserve">generally retailers don’t </w:t>
      </w:r>
      <w:r w:rsidR="00973721" w:rsidRPr="00F259E4">
        <w:rPr>
          <w:rFonts w:cstheme="minorHAnsi"/>
          <w:color w:val="000000" w:themeColor="text1"/>
          <w:lang w:eastAsia="en-NZ"/>
        </w:rPr>
        <w:t xml:space="preserve">actively </w:t>
      </w:r>
      <w:r w:rsidR="00C12A08" w:rsidRPr="00F259E4">
        <w:rPr>
          <w:rFonts w:cstheme="minorHAnsi"/>
          <w:color w:val="000000" w:themeColor="text1"/>
          <w:lang w:eastAsia="en-NZ"/>
        </w:rPr>
        <w:t xml:space="preserve">go searching for them – </w:t>
      </w:r>
      <w:r w:rsidR="009B0725" w:rsidRPr="00F259E4">
        <w:rPr>
          <w:rFonts w:cstheme="minorHAnsi"/>
          <w:color w:val="000000" w:themeColor="text1"/>
          <w:lang w:eastAsia="en-NZ"/>
        </w:rPr>
        <w:t>l</w:t>
      </w:r>
      <w:r w:rsidR="009540DD" w:rsidRPr="00F259E4">
        <w:rPr>
          <w:rFonts w:cstheme="minorHAnsi"/>
          <w:color w:val="000000" w:themeColor="text1"/>
          <w:lang w:eastAsia="en-NZ"/>
        </w:rPr>
        <w:t>ower income households are often not</w:t>
      </w:r>
      <w:r w:rsidR="003E1079" w:rsidRPr="00F259E4">
        <w:rPr>
          <w:rFonts w:cstheme="minorHAnsi"/>
          <w:color w:val="000000" w:themeColor="text1"/>
          <w:lang w:eastAsia="en-NZ"/>
        </w:rPr>
        <w:t xml:space="preserve"> prime targets for retailers seeking to gain business by offering better deals</w:t>
      </w:r>
      <w:r w:rsidR="003201A8">
        <w:rPr>
          <w:rFonts w:cstheme="minorHAnsi"/>
          <w:color w:val="000000" w:themeColor="text1"/>
          <w:lang w:eastAsia="en-NZ"/>
        </w:rPr>
        <w:t>)</w:t>
      </w:r>
      <w:r w:rsidR="003E1079" w:rsidRPr="00F259E4">
        <w:rPr>
          <w:rFonts w:cstheme="minorHAnsi"/>
          <w:color w:val="000000" w:themeColor="text1"/>
          <w:lang w:eastAsia="en-NZ"/>
        </w:rPr>
        <w:t>.</w:t>
      </w:r>
    </w:p>
    <w:p w14:paraId="32DD744A" w14:textId="7E98040A" w:rsidR="009B0A5C" w:rsidRDefault="009B0A5C" w:rsidP="00273087">
      <w:pPr>
        <w:pStyle w:val="ListParagraph"/>
        <w:widowControl w:val="0"/>
        <w:numPr>
          <w:ilvl w:val="0"/>
          <w:numId w:val="10"/>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ENA </w:t>
      </w:r>
      <w:r w:rsidR="008F3EE1" w:rsidRPr="00F259E4">
        <w:rPr>
          <w:rFonts w:cstheme="minorHAnsi"/>
          <w:color w:val="000000" w:themeColor="text1"/>
          <w:lang w:eastAsia="en-NZ"/>
        </w:rPr>
        <w:t xml:space="preserve">believes that there needs to be a credible, respected and independent source of information and advice for consumers, especially </w:t>
      </w:r>
      <w:r w:rsidR="00F3325A" w:rsidRPr="00F259E4">
        <w:rPr>
          <w:rFonts w:cstheme="minorHAnsi"/>
          <w:color w:val="000000" w:themeColor="text1"/>
          <w:lang w:eastAsia="en-NZ"/>
        </w:rPr>
        <w:t>those in energy har</w:t>
      </w:r>
      <w:r w:rsidR="00F42A9B" w:rsidRPr="00F259E4">
        <w:rPr>
          <w:rFonts w:cstheme="minorHAnsi"/>
          <w:color w:val="000000" w:themeColor="text1"/>
          <w:lang w:eastAsia="en-NZ"/>
        </w:rPr>
        <w:t>dship.</w:t>
      </w:r>
      <w:r w:rsidR="00520547" w:rsidRPr="00F259E4">
        <w:rPr>
          <w:rFonts w:cstheme="minorHAnsi"/>
          <w:color w:val="000000" w:themeColor="text1"/>
          <w:lang w:eastAsia="en-NZ"/>
        </w:rPr>
        <w:t xml:space="preserve"> </w:t>
      </w:r>
      <w:r w:rsidR="001C66F0" w:rsidRPr="00F259E4">
        <w:rPr>
          <w:rFonts w:cstheme="minorHAnsi"/>
          <w:color w:val="000000" w:themeColor="text1"/>
          <w:lang w:eastAsia="en-NZ"/>
        </w:rPr>
        <w:t>We are aware that there are some entities which already offer this service in some parts of</w:t>
      </w:r>
      <w:r w:rsidR="00CE0DBE">
        <w:rPr>
          <w:rFonts w:cstheme="minorHAnsi"/>
          <w:color w:val="000000" w:themeColor="text1"/>
          <w:lang w:eastAsia="en-NZ"/>
        </w:rPr>
        <w:br/>
      </w:r>
      <w:r w:rsidR="001C66F0" w:rsidRPr="00F259E4">
        <w:rPr>
          <w:rFonts w:cstheme="minorHAnsi"/>
          <w:color w:val="000000" w:themeColor="text1"/>
          <w:lang w:eastAsia="en-NZ"/>
        </w:rPr>
        <w:t xml:space="preserve">New Zealand. </w:t>
      </w:r>
    </w:p>
    <w:p w14:paraId="1DBEE9B5" w14:textId="480E95A3" w:rsidR="002B32A4" w:rsidRPr="00F259E4" w:rsidRDefault="002B32A4" w:rsidP="002B32A4">
      <w:pPr>
        <w:pStyle w:val="ListParagraph"/>
        <w:widowControl w:val="0"/>
        <w:numPr>
          <w:ilvl w:val="0"/>
          <w:numId w:val="10"/>
        </w:numPr>
        <w:spacing w:after="60"/>
        <w:ind w:left="864" w:hanging="414"/>
        <w:contextualSpacing w:val="0"/>
        <w:rPr>
          <w:rFonts w:cstheme="minorHAnsi"/>
          <w:color w:val="000000" w:themeColor="text1"/>
          <w:lang w:eastAsia="en-NZ"/>
        </w:rPr>
      </w:pPr>
      <w:r w:rsidRPr="00F259E4">
        <w:rPr>
          <w:rFonts w:cstheme="minorHAnsi"/>
          <w:color w:val="000000" w:themeColor="text1"/>
          <w:lang w:eastAsia="en-NZ"/>
        </w:rPr>
        <w:t xml:space="preserve">While Power Switch and What’s My Number are useful on-line tools, there are few obvious </w:t>
      </w:r>
      <w:r w:rsidRPr="00F259E4">
        <w:rPr>
          <w:rFonts w:cstheme="minorHAnsi"/>
          <w:color w:val="000000" w:themeColor="text1"/>
          <w:lang w:eastAsia="en-NZ"/>
        </w:rPr>
        <w:lastRenderedPageBreak/>
        <w:t xml:space="preserve">options for New Zealanders wanting to, for example, talk to an adviser about the most efficient </w:t>
      </w:r>
      <w:r w:rsidR="005B2456">
        <w:rPr>
          <w:rFonts w:cstheme="minorHAnsi"/>
          <w:color w:val="000000" w:themeColor="text1"/>
          <w:lang w:eastAsia="en-NZ"/>
        </w:rPr>
        <w:t>plans</w:t>
      </w:r>
      <w:r w:rsidRPr="00F259E4">
        <w:rPr>
          <w:rFonts w:cstheme="minorHAnsi"/>
          <w:color w:val="000000" w:themeColor="text1"/>
          <w:lang w:eastAsia="en-NZ"/>
        </w:rPr>
        <w:t xml:space="preserve"> for a household, in conjunction with a discussion about technology or home-improvement options. (In Christchurch, the independent Community Energy Action organisation does provide components of this role, as does the Sustainability Trust in Wellington).</w:t>
      </w:r>
    </w:p>
    <w:p w14:paraId="4018759C" w14:textId="5D91B909" w:rsidR="002B32A4" w:rsidRPr="00F259E4" w:rsidRDefault="002B32A4" w:rsidP="002B32A4">
      <w:pPr>
        <w:pStyle w:val="ListParagraph"/>
        <w:widowControl w:val="0"/>
        <w:numPr>
          <w:ilvl w:val="0"/>
          <w:numId w:val="10"/>
        </w:numPr>
        <w:spacing w:after="60"/>
        <w:ind w:left="864" w:hanging="414"/>
        <w:contextualSpacing w:val="0"/>
        <w:rPr>
          <w:rFonts w:cstheme="minorHAnsi"/>
          <w:color w:val="000000" w:themeColor="text1"/>
          <w:lang w:eastAsia="en-NZ"/>
        </w:rPr>
      </w:pPr>
      <w:r w:rsidRPr="00F259E4">
        <w:rPr>
          <w:rFonts w:cstheme="minorHAnsi"/>
          <w:color w:val="000000" w:themeColor="text1"/>
          <w:lang w:eastAsia="en-NZ"/>
        </w:rPr>
        <w:t xml:space="preserve">To be effective in reaching the hard-to-reach demographic of consumers who are currently being penalised for their passivity, the energy ambassador function </w:t>
      </w:r>
      <w:r w:rsidR="00C14513">
        <w:rPr>
          <w:rFonts w:cstheme="minorHAnsi"/>
          <w:color w:val="000000" w:themeColor="text1"/>
          <w:lang w:eastAsia="en-NZ"/>
        </w:rPr>
        <w:t xml:space="preserve">(see recommendation 3.1) </w:t>
      </w:r>
      <w:r w:rsidRPr="00F259E4">
        <w:rPr>
          <w:rFonts w:cstheme="minorHAnsi"/>
          <w:color w:val="000000" w:themeColor="text1"/>
          <w:lang w:eastAsia="en-NZ"/>
        </w:rPr>
        <w:t>must be well-promoted and must successfully find new ways to pro-actively engage with these demographic groups.</w:t>
      </w:r>
    </w:p>
    <w:p w14:paraId="0564A5A3" w14:textId="42D6BCF6" w:rsidR="002B32A4" w:rsidRPr="00F259E4" w:rsidRDefault="002B32A4" w:rsidP="002B32A4">
      <w:pPr>
        <w:pStyle w:val="ListParagraph"/>
        <w:widowControl w:val="0"/>
        <w:numPr>
          <w:ilvl w:val="0"/>
          <w:numId w:val="10"/>
        </w:numPr>
        <w:spacing w:after="60"/>
        <w:ind w:left="864" w:hanging="414"/>
        <w:contextualSpacing w:val="0"/>
        <w:rPr>
          <w:rFonts w:cstheme="minorHAnsi"/>
          <w:color w:val="000000" w:themeColor="text1"/>
          <w:lang w:eastAsia="en-NZ"/>
        </w:rPr>
      </w:pPr>
      <w:r w:rsidRPr="00F259E4">
        <w:rPr>
          <w:rFonts w:cstheme="minorHAnsi"/>
          <w:color w:val="000000" w:themeColor="text1"/>
          <w:lang w:eastAsia="en-NZ"/>
        </w:rPr>
        <w:t>The provision of such advice could potentially be packaged with an energy ambassador role as suggested above. (Or if, for instance, there were several ‘energy ambassador’ roles established regionally, it could be appropriate to consider that existing organisations such as Community Energy Action or the Sustainability Trust</w:t>
      </w:r>
      <w:r w:rsidR="00C14513">
        <w:rPr>
          <w:rFonts w:cstheme="minorHAnsi"/>
          <w:color w:val="000000" w:themeColor="text1"/>
          <w:lang w:eastAsia="en-NZ"/>
        </w:rPr>
        <w:t xml:space="preserve"> </w:t>
      </w:r>
      <w:r w:rsidRPr="00F259E4">
        <w:rPr>
          <w:rFonts w:cstheme="minorHAnsi"/>
          <w:color w:val="000000" w:themeColor="text1"/>
          <w:lang w:eastAsia="en-NZ"/>
        </w:rPr>
        <w:t>be invited to tender to provide this function in their regions, given their existing energy advisory knowledge and experience.)</w:t>
      </w:r>
    </w:p>
    <w:p w14:paraId="03F0B862" w14:textId="74734E23" w:rsidR="005D4F43" w:rsidRDefault="00B0204F" w:rsidP="00273087">
      <w:pPr>
        <w:pStyle w:val="ListParagraph"/>
        <w:widowControl w:val="0"/>
        <w:numPr>
          <w:ilvl w:val="0"/>
          <w:numId w:val="10"/>
        </w:numPr>
        <w:ind w:left="851" w:hanging="425"/>
        <w:contextualSpacing w:val="0"/>
        <w:rPr>
          <w:rFonts w:cstheme="minorHAnsi"/>
          <w:color w:val="000000" w:themeColor="text1"/>
          <w:lang w:eastAsia="en-NZ"/>
        </w:rPr>
      </w:pPr>
      <w:r w:rsidRPr="005D4F43">
        <w:rPr>
          <w:rFonts w:cstheme="minorHAnsi"/>
          <w:color w:val="000000" w:themeColor="text1"/>
          <w:lang w:eastAsia="en-NZ"/>
        </w:rPr>
        <w:t xml:space="preserve">It is important to recognise that the causes of the affordability problem are </w:t>
      </w:r>
      <w:r w:rsidR="00CE0DBE" w:rsidRPr="005D4F43">
        <w:rPr>
          <w:rFonts w:cstheme="minorHAnsi"/>
          <w:color w:val="000000" w:themeColor="text1"/>
          <w:lang w:eastAsia="en-NZ"/>
        </w:rPr>
        <w:t xml:space="preserve">complex and multi-dimensional. </w:t>
      </w:r>
      <w:r w:rsidRPr="005D4F43">
        <w:rPr>
          <w:rFonts w:cstheme="minorHAnsi"/>
          <w:color w:val="000000" w:themeColor="text1"/>
          <w:lang w:eastAsia="en-NZ"/>
        </w:rPr>
        <w:t>People in energy hardship are likely to face affordability challenges across a range of essential goods and services, including housing, transportation</w:t>
      </w:r>
      <w:r w:rsidR="00D41F2D">
        <w:rPr>
          <w:rFonts w:cstheme="minorHAnsi"/>
          <w:color w:val="000000" w:themeColor="text1"/>
          <w:lang w:eastAsia="en-NZ"/>
        </w:rPr>
        <w:t>,</w:t>
      </w:r>
      <w:r w:rsidRPr="005D4F43">
        <w:rPr>
          <w:rFonts w:cstheme="minorHAnsi"/>
          <w:color w:val="000000" w:themeColor="text1"/>
          <w:lang w:eastAsia="en-NZ"/>
        </w:rPr>
        <w:t xml:space="preserve"> and food. </w:t>
      </w:r>
      <w:r w:rsidR="00DC30A5" w:rsidRPr="005D4F43">
        <w:rPr>
          <w:rFonts w:cstheme="minorHAnsi"/>
          <w:color w:val="000000" w:themeColor="text1"/>
          <w:lang w:eastAsia="en-NZ"/>
        </w:rPr>
        <w:t>H</w:t>
      </w:r>
      <w:r w:rsidRPr="005D4F43">
        <w:rPr>
          <w:rFonts w:cstheme="minorHAnsi"/>
          <w:color w:val="000000" w:themeColor="text1"/>
          <w:lang w:eastAsia="en-NZ"/>
        </w:rPr>
        <w:t>ousing quality is likely to have a particularly significant impact on low</w:t>
      </w:r>
      <w:r w:rsidR="00D41F2D">
        <w:rPr>
          <w:rFonts w:cstheme="minorHAnsi"/>
          <w:color w:val="000000" w:themeColor="text1"/>
          <w:lang w:eastAsia="en-NZ"/>
        </w:rPr>
        <w:t>-</w:t>
      </w:r>
      <w:r w:rsidRPr="005D4F43">
        <w:rPr>
          <w:rFonts w:cstheme="minorHAnsi"/>
          <w:color w:val="000000" w:themeColor="text1"/>
          <w:lang w:eastAsia="en-NZ"/>
        </w:rPr>
        <w:t>income households</w:t>
      </w:r>
      <w:r w:rsidR="005D4F43">
        <w:rPr>
          <w:rFonts w:cstheme="minorHAnsi"/>
          <w:color w:val="000000" w:themeColor="text1"/>
          <w:lang w:eastAsia="en-NZ"/>
        </w:rPr>
        <w:t xml:space="preserve">. </w:t>
      </w:r>
      <w:r w:rsidR="00D26A5A" w:rsidRPr="005D4F43">
        <w:rPr>
          <w:rFonts w:cstheme="minorHAnsi"/>
          <w:color w:val="000000" w:themeColor="text1"/>
          <w:lang w:eastAsia="en-NZ"/>
        </w:rPr>
        <w:t xml:space="preserve">The </w:t>
      </w:r>
      <w:r w:rsidR="00B73363">
        <w:rPr>
          <w:rFonts w:cstheme="minorHAnsi"/>
          <w:color w:val="000000" w:themeColor="text1"/>
          <w:lang w:eastAsia="en-NZ"/>
        </w:rPr>
        <w:t xml:space="preserve">consequence </w:t>
      </w:r>
      <w:r w:rsidR="00D26A5A" w:rsidRPr="005D4F43">
        <w:rPr>
          <w:rFonts w:cstheme="minorHAnsi"/>
          <w:color w:val="000000" w:themeColor="text1"/>
          <w:lang w:eastAsia="en-NZ"/>
        </w:rPr>
        <w:t>is that</w:t>
      </w:r>
      <w:r w:rsidRPr="005D4F43">
        <w:rPr>
          <w:rFonts w:cstheme="minorHAnsi"/>
          <w:color w:val="000000" w:themeColor="text1"/>
          <w:lang w:eastAsia="en-NZ"/>
        </w:rPr>
        <w:t xml:space="preserve"> higher energy requirements are needed to heat</w:t>
      </w:r>
      <w:r w:rsidR="00CE0DBE" w:rsidRPr="005D4F43">
        <w:rPr>
          <w:rFonts w:cstheme="minorHAnsi"/>
          <w:color w:val="000000" w:themeColor="text1"/>
          <w:lang w:eastAsia="en-NZ"/>
        </w:rPr>
        <w:t xml:space="preserve"> poorly insulated, damp homes.</w:t>
      </w:r>
    </w:p>
    <w:p w14:paraId="20BCA7DB" w14:textId="05354F2A" w:rsidR="00B0204F" w:rsidRPr="005D4F43" w:rsidRDefault="00B73363" w:rsidP="00273087">
      <w:pPr>
        <w:pStyle w:val="ListParagraph"/>
        <w:widowControl w:val="0"/>
        <w:numPr>
          <w:ilvl w:val="0"/>
          <w:numId w:val="10"/>
        </w:numPr>
        <w:ind w:left="851" w:hanging="425"/>
        <w:contextualSpacing w:val="0"/>
        <w:rPr>
          <w:rFonts w:cstheme="minorHAnsi"/>
          <w:color w:val="000000" w:themeColor="text1"/>
          <w:lang w:eastAsia="en-NZ"/>
        </w:rPr>
      </w:pPr>
      <w:r>
        <w:rPr>
          <w:rFonts w:cstheme="minorHAnsi"/>
          <w:color w:val="000000" w:themeColor="text1"/>
          <w:lang w:eastAsia="en-NZ"/>
        </w:rPr>
        <w:t xml:space="preserve">As a result, </w:t>
      </w:r>
      <w:r w:rsidR="005D4F43">
        <w:rPr>
          <w:rFonts w:cstheme="minorHAnsi"/>
          <w:color w:val="000000" w:themeColor="text1"/>
          <w:lang w:eastAsia="en-NZ"/>
        </w:rPr>
        <w:t xml:space="preserve">ENA </w:t>
      </w:r>
      <w:r w:rsidR="00B0204F" w:rsidRPr="005D4F43">
        <w:rPr>
          <w:rFonts w:cstheme="minorHAnsi"/>
          <w:color w:val="000000" w:themeColor="text1"/>
          <w:lang w:eastAsia="en-NZ"/>
        </w:rPr>
        <w:t>support</w:t>
      </w:r>
      <w:r w:rsidR="002A1DD3">
        <w:rPr>
          <w:rFonts w:cstheme="minorHAnsi"/>
          <w:color w:val="000000" w:themeColor="text1"/>
          <w:lang w:eastAsia="en-NZ"/>
        </w:rPr>
        <w:t>s</w:t>
      </w:r>
      <w:r w:rsidR="00B0204F" w:rsidRPr="005D4F43">
        <w:rPr>
          <w:rFonts w:cstheme="minorHAnsi"/>
          <w:color w:val="000000" w:themeColor="text1"/>
          <w:lang w:eastAsia="en-NZ"/>
        </w:rPr>
        <w:t xml:space="preserve"> the Government’s initiatives to improve the quality of housing stock, which will have a far greater impact on consumers in energy hardship than any conceivable reduction in electricity prices, including significant health benefits from reduced respiratory illnesses. </w:t>
      </w:r>
    </w:p>
    <w:p w14:paraId="16E75332" w14:textId="77777777" w:rsidR="00B0204F" w:rsidRPr="00F259E4" w:rsidRDefault="00B0204F" w:rsidP="00B0204F">
      <w:pPr>
        <w:pStyle w:val="ListParagraph"/>
        <w:widowControl w:val="0"/>
        <w:ind w:left="1134"/>
        <w:jc w:val="both"/>
        <w:rPr>
          <w:rFonts w:cstheme="minorHAnsi"/>
          <w:color w:val="000000" w:themeColor="text1"/>
          <w:lang w:eastAsia="en-NZ"/>
        </w:rPr>
      </w:pPr>
    </w:p>
    <w:p w14:paraId="027C5FF6" w14:textId="19CF64C0" w:rsidR="00C14C0B" w:rsidRPr="008E631A" w:rsidRDefault="00C14C0B" w:rsidP="008E631A">
      <w:pPr>
        <w:pStyle w:val="Heading2"/>
        <w:spacing w:after="360"/>
      </w:pPr>
      <w:r w:rsidRPr="00F259E4">
        <w:t>Recommendation</w:t>
      </w:r>
      <w:r w:rsidR="00606C55">
        <w:t xml:space="preserve"> 3.2</w:t>
      </w:r>
      <w:r w:rsidRPr="00F259E4">
        <w:t xml:space="preserve">: </w:t>
      </w:r>
      <w:r w:rsidR="009453E2">
        <w:t>T</w:t>
      </w:r>
      <w:r w:rsidRPr="00F259E4">
        <w:t xml:space="preserve">hat the Panel </w:t>
      </w:r>
      <w:r w:rsidR="006218CC" w:rsidRPr="00F259E4">
        <w:t>encourage</w:t>
      </w:r>
      <w:r w:rsidR="002A1DD3">
        <w:t>s</w:t>
      </w:r>
      <w:r w:rsidR="006218CC" w:rsidRPr="00F259E4">
        <w:t xml:space="preserve"> greater </w:t>
      </w:r>
      <w:r w:rsidR="00FF40F2">
        <w:t xml:space="preserve">consumer </w:t>
      </w:r>
      <w:r w:rsidR="006218CC" w:rsidRPr="00F259E4">
        <w:t xml:space="preserve">access to credible, independent information about electricity prices, technologies, and energy conservation options to lower energy costs. </w:t>
      </w:r>
    </w:p>
    <w:p w14:paraId="606CF47E" w14:textId="25110A93" w:rsidR="00941A03" w:rsidRPr="00F259E4" w:rsidRDefault="00626D20" w:rsidP="000F73C6">
      <w:pPr>
        <w:pStyle w:val="ListParagraph"/>
        <w:widowControl w:val="0"/>
        <w:numPr>
          <w:ilvl w:val="0"/>
          <w:numId w:val="1"/>
        </w:numPr>
        <w:ind w:left="426" w:hanging="426"/>
        <w:contextualSpacing w:val="0"/>
        <w:jc w:val="both"/>
        <w:rPr>
          <w:rFonts w:cstheme="minorHAnsi"/>
          <w:b/>
          <w:color w:val="000000" w:themeColor="text1"/>
        </w:rPr>
      </w:pPr>
      <w:r w:rsidRPr="00F259E4">
        <w:rPr>
          <w:rFonts w:cstheme="minorHAnsi"/>
          <w:b/>
          <w:color w:val="000000" w:themeColor="text1"/>
        </w:rPr>
        <w:t xml:space="preserve">What are your views </w:t>
      </w:r>
      <w:r w:rsidR="002A1DD3">
        <w:rPr>
          <w:rFonts w:cstheme="minorHAnsi"/>
          <w:b/>
          <w:color w:val="000000" w:themeColor="text1"/>
        </w:rPr>
        <w:t>on</w:t>
      </w:r>
      <w:r w:rsidRPr="00F259E4">
        <w:rPr>
          <w:rFonts w:cstheme="minorHAnsi"/>
          <w:b/>
          <w:color w:val="000000" w:themeColor="text1"/>
        </w:rPr>
        <w:t xml:space="preserve"> the assessment of the outlook for the affordability problem?</w:t>
      </w:r>
    </w:p>
    <w:p w14:paraId="56032852" w14:textId="64DB1620" w:rsidR="00DF31D7" w:rsidRPr="00F259E4" w:rsidRDefault="00DF31D7" w:rsidP="00273087">
      <w:pPr>
        <w:pStyle w:val="ListParagraph"/>
        <w:widowControl w:val="0"/>
        <w:numPr>
          <w:ilvl w:val="0"/>
          <w:numId w:val="11"/>
        </w:numPr>
        <w:ind w:left="851" w:hanging="425"/>
        <w:contextualSpacing w:val="0"/>
        <w:rPr>
          <w:rFonts w:cstheme="minorHAnsi"/>
          <w:b/>
          <w:color w:val="000000" w:themeColor="text1"/>
          <w:lang w:eastAsia="en-NZ"/>
        </w:rPr>
      </w:pPr>
      <w:r w:rsidRPr="00F259E4">
        <w:rPr>
          <w:rFonts w:cstheme="minorHAnsi"/>
          <w:color w:val="000000" w:themeColor="text1"/>
          <w:lang w:eastAsia="en-NZ"/>
        </w:rPr>
        <w:t xml:space="preserve">ENA agrees with the </w:t>
      </w:r>
      <w:r w:rsidR="00F66A2B">
        <w:rPr>
          <w:rFonts w:cstheme="minorHAnsi"/>
          <w:color w:val="000000" w:themeColor="text1"/>
          <w:lang w:eastAsia="en-NZ"/>
        </w:rPr>
        <w:t>Panel</w:t>
      </w:r>
      <w:r w:rsidRPr="00F259E4">
        <w:rPr>
          <w:rFonts w:cstheme="minorHAnsi"/>
          <w:color w:val="000000" w:themeColor="text1"/>
          <w:lang w:eastAsia="en-NZ"/>
        </w:rPr>
        <w:t>’s assessment on the outlook of the affordability problem.</w:t>
      </w:r>
    </w:p>
    <w:p w14:paraId="631F154C" w14:textId="4097083E" w:rsidR="00DF31D7" w:rsidRPr="00F259E4" w:rsidRDefault="00DF31D7" w:rsidP="00273087">
      <w:pPr>
        <w:pStyle w:val="ListParagraph"/>
        <w:widowControl w:val="0"/>
        <w:numPr>
          <w:ilvl w:val="0"/>
          <w:numId w:val="11"/>
        </w:numPr>
        <w:ind w:left="851" w:hanging="425"/>
        <w:contextualSpacing w:val="0"/>
        <w:rPr>
          <w:rFonts w:cstheme="minorHAnsi"/>
          <w:bCs/>
          <w:color w:val="000000" w:themeColor="text1"/>
          <w:lang w:eastAsia="en-NZ"/>
        </w:rPr>
      </w:pPr>
      <w:r w:rsidRPr="00F259E4">
        <w:rPr>
          <w:rFonts w:cstheme="minorHAnsi"/>
          <w:color w:val="000000" w:themeColor="text1"/>
          <w:lang w:eastAsia="en-NZ"/>
        </w:rPr>
        <w:t>In particular, ENA agrees that technology uptake will vary between consumers. Some will be able to afford alternative generation such as solar, energy storage devices</w:t>
      </w:r>
      <w:r w:rsidR="009D70F4">
        <w:rPr>
          <w:rFonts w:cstheme="minorHAnsi"/>
          <w:color w:val="000000" w:themeColor="text1"/>
          <w:lang w:eastAsia="en-NZ"/>
        </w:rPr>
        <w:t xml:space="preserve">, </w:t>
      </w:r>
      <w:r w:rsidRPr="00F259E4">
        <w:rPr>
          <w:rFonts w:cstheme="minorHAnsi"/>
          <w:color w:val="000000" w:themeColor="text1"/>
          <w:lang w:eastAsia="en-NZ"/>
        </w:rPr>
        <w:t xml:space="preserve">energy management systems, and electric cars which can be used for transport and energy storage. </w:t>
      </w:r>
    </w:p>
    <w:p w14:paraId="7F555741" w14:textId="005E6DB1" w:rsidR="00DF31D7" w:rsidRPr="00F259E4" w:rsidRDefault="00DF31D7" w:rsidP="00273087">
      <w:pPr>
        <w:pStyle w:val="ListParagraph"/>
        <w:widowControl w:val="0"/>
        <w:numPr>
          <w:ilvl w:val="0"/>
          <w:numId w:val="11"/>
        </w:numPr>
        <w:ind w:left="851" w:hanging="425"/>
        <w:contextualSpacing w:val="0"/>
        <w:rPr>
          <w:rFonts w:cstheme="minorHAnsi"/>
          <w:b/>
          <w:color w:val="000000" w:themeColor="text1"/>
          <w:lang w:eastAsia="en-NZ"/>
        </w:rPr>
      </w:pPr>
      <w:r w:rsidRPr="00F259E4">
        <w:rPr>
          <w:rFonts w:cstheme="minorHAnsi"/>
          <w:color w:val="000000" w:themeColor="text1"/>
          <w:lang w:eastAsia="en-NZ"/>
        </w:rPr>
        <w:t xml:space="preserve">Others will not have the </w:t>
      </w:r>
      <w:r w:rsidR="00837E53" w:rsidRPr="00F259E4">
        <w:rPr>
          <w:rFonts w:cstheme="minorHAnsi"/>
          <w:color w:val="000000" w:themeColor="text1"/>
          <w:lang w:eastAsia="en-NZ"/>
        </w:rPr>
        <w:t>resources</w:t>
      </w:r>
      <w:r w:rsidRPr="00F259E4">
        <w:rPr>
          <w:rFonts w:cstheme="minorHAnsi"/>
          <w:color w:val="000000" w:themeColor="text1"/>
          <w:lang w:eastAsia="en-NZ"/>
        </w:rPr>
        <w:t xml:space="preserve"> or knowledge to adopt these technologies in the short to medium term</w:t>
      </w:r>
      <w:r w:rsidR="004769E7" w:rsidRPr="00F259E4">
        <w:rPr>
          <w:rFonts w:cstheme="minorHAnsi"/>
          <w:color w:val="000000" w:themeColor="text1"/>
          <w:lang w:eastAsia="en-NZ"/>
        </w:rPr>
        <w:t xml:space="preserve"> and will forgo the potentia</w:t>
      </w:r>
      <w:r w:rsidR="00D31565" w:rsidRPr="00F259E4">
        <w:rPr>
          <w:rFonts w:cstheme="minorHAnsi"/>
          <w:color w:val="000000" w:themeColor="text1"/>
          <w:lang w:eastAsia="en-NZ"/>
        </w:rPr>
        <w:t>l benefits they offer to affordability.</w:t>
      </w:r>
    </w:p>
    <w:p w14:paraId="47911AA0" w14:textId="489CD648" w:rsidR="00DF31D7" w:rsidRDefault="00DF31D7" w:rsidP="00273087">
      <w:pPr>
        <w:pStyle w:val="ListParagraph"/>
        <w:widowControl w:val="0"/>
        <w:numPr>
          <w:ilvl w:val="0"/>
          <w:numId w:val="12"/>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ENA supports further social welfare measures such as enhancements to the winter energy payment. The payment </w:t>
      </w:r>
      <w:r w:rsidR="00806A8A" w:rsidRPr="00F259E4">
        <w:rPr>
          <w:rFonts w:cstheme="minorHAnsi"/>
          <w:color w:val="000000" w:themeColor="text1"/>
          <w:lang w:eastAsia="en-NZ"/>
        </w:rPr>
        <w:t xml:space="preserve">does benefit many people on low incomes, but it </w:t>
      </w:r>
      <w:r w:rsidRPr="00F259E4">
        <w:rPr>
          <w:rFonts w:cstheme="minorHAnsi"/>
          <w:color w:val="000000" w:themeColor="text1"/>
          <w:lang w:eastAsia="en-NZ"/>
        </w:rPr>
        <w:t xml:space="preserve">is poorly targeted as it </w:t>
      </w:r>
      <w:r w:rsidR="008D0D1F" w:rsidRPr="00F259E4">
        <w:rPr>
          <w:rFonts w:cstheme="minorHAnsi"/>
          <w:color w:val="000000" w:themeColor="text1"/>
          <w:lang w:eastAsia="en-NZ"/>
        </w:rPr>
        <w:t xml:space="preserve">also </w:t>
      </w:r>
      <w:r w:rsidR="00B37BC0" w:rsidRPr="00F259E4">
        <w:rPr>
          <w:rFonts w:cstheme="minorHAnsi"/>
          <w:color w:val="000000" w:themeColor="text1"/>
          <w:lang w:eastAsia="en-NZ"/>
        </w:rPr>
        <w:t>benefits</w:t>
      </w:r>
      <w:r w:rsidR="00794F26" w:rsidRPr="00F259E4">
        <w:rPr>
          <w:rFonts w:cstheme="minorHAnsi"/>
          <w:color w:val="000000" w:themeColor="text1"/>
          <w:lang w:eastAsia="en-NZ"/>
        </w:rPr>
        <w:t xml:space="preserve"> </w:t>
      </w:r>
      <w:r w:rsidR="0075104D">
        <w:rPr>
          <w:rFonts w:cstheme="minorHAnsi"/>
          <w:color w:val="000000" w:themeColor="text1"/>
          <w:lang w:eastAsia="en-NZ"/>
        </w:rPr>
        <w:t>some consumers</w:t>
      </w:r>
      <w:r w:rsidR="00794F26" w:rsidRPr="00F259E4">
        <w:rPr>
          <w:rFonts w:cstheme="minorHAnsi"/>
          <w:color w:val="000000" w:themeColor="text1"/>
          <w:lang w:eastAsia="en-NZ"/>
        </w:rPr>
        <w:t xml:space="preserve"> who </w:t>
      </w:r>
      <w:r w:rsidR="00240C1E" w:rsidRPr="00F259E4">
        <w:rPr>
          <w:rFonts w:cstheme="minorHAnsi"/>
          <w:color w:val="000000" w:themeColor="text1"/>
          <w:lang w:eastAsia="en-NZ"/>
        </w:rPr>
        <w:t xml:space="preserve">might </w:t>
      </w:r>
      <w:r w:rsidR="00B338BE" w:rsidRPr="00F259E4">
        <w:rPr>
          <w:rFonts w:cstheme="minorHAnsi"/>
          <w:color w:val="000000" w:themeColor="text1"/>
          <w:lang w:eastAsia="en-NZ"/>
        </w:rPr>
        <w:t>not be in energy hardship.</w:t>
      </w:r>
      <w:r w:rsidR="008D0D1F" w:rsidRPr="00F259E4">
        <w:rPr>
          <w:rFonts w:cstheme="minorHAnsi"/>
          <w:color w:val="000000" w:themeColor="text1"/>
          <w:lang w:eastAsia="en-NZ"/>
        </w:rPr>
        <w:t xml:space="preserve"> </w:t>
      </w:r>
    </w:p>
    <w:p w14:paraId="53BD263E" w14:textId="5A041816" w:rsidR="002B2219" w:rsidRDefault="00057FF0" w:rsidP="00273087">
      <w:pPr>
        <w:pStyle w:val="ListParagraph"/>
        <w:widowControl w:val="0"/>
        <w:numPr>
          <w:ilvl w:val="0"/>
          <w:numId w:val="12"/>
        </w:numPr>
        <w:ind w:left="851" w:hanging="425"/>
        <w:contextualSpacing w:val="0"/>
        <w:rPr>
          <w:rFonts w:cstheme="minorHAnsi"/>
          <w:color w:val="000000" w:themeColor="text1"/>
          <w:lang w:eastAsia="en-NZ"/>
        </w:rPr>
      </w:pPr>
      <w:r>
        <w:rPr>
          <w:rFonts w:cstheme="minorHAnsi"/>
          <w:color w:val="000000" w:themeColor="text1"/>
          <w:lang w:eastAsia="en-NZ"/>
        </w:rPr>
        <w:lastRenderedPageBreak/>
        <w:t xml:space="preserve">ENA </w:t>
      </w:r>
      <w:r w:rsidR="0011557F">
        <w:rPr>
          <w:rFonts w:cstheme="minorHAnsi"/>
          <w:color w:val="000000" w:themeColor="text1"/>
          <w:lang w:eastAsia="en-NZ"/>
        </w:rPr>
        <w:t xml:space="preserve">members have discussed the possibility of recommending that the government establish a retail option </w:t>
      </w:r>
      <w:r w:rsidR="002B2219">
        <w:rPr>
          <w:rFonts w:cstheme="minorHAnsi"/>
          <w:color w:val="000000" w:themeColor="text1"/>
          <w:lang w:eastAsia="en-NZ"/>
        </w:rPr>
        <w:t>for those c</w:t>
      </w:r>
      <w:r w:rsidR="00AC3AA1">
        <w:rPr>
          <w:rFonts w:cstheme="minorHAnsi"/>
          <w:color w:val="000000" w:themeColor="text1"/>
          <w:lang w:eastAsia="en-NZ"/>
        </w:rPr>
        <w:t>o</w:t>
      </w:r>
      <w:r w:rsidR="002B2219">
        <w:rPr>
          <w:rFonts w:cstheme="minorHAnsi"/>
          <w:color w:val="000000" w:themeColor="text1"/>
          <w:lang w:eastAsia="en-NZ"/>
        </w:rPr>
        <w:t>nsumers who would otherwise struggle to find a competitively</w:t>
      </w:r>
      <w:r w:rsidR="0038087B">
        <w:rPr>
          <w:rFonts w:cstheme="minorHAnsi"/>
          <w:color w:val="000000" w:themeColor="text1"/>
          <w:lang w:eastAsia="en-NZ"/>
        </w:rPr>
        <w:t>-</w:t>
      </w:r>
      <w:r w:rsidR="002B2219">
        <w:rPr>
          <w:rFonts w:cstheme="minorHAnsi"/>
          <w:color w:val="000000" w:themeColor="text1"/>
          <w:lang w:eastAsia="en-NZ"/>
        </w:rPr>
        <w:t>priced electricity retailer</w:t>
      </w:r>
      <w:r w:rsidR="00AC3AA1">
        <w:rPr>
          <w:rFonts w:cstheme="minorHAnsi"/>
          <w:color w:val="000000" w:themeColor="text1"/>
          <w:lang w:eastAsia="en-NZ"/>
        </w:rPr>
        <w:t xml:space="preserve"> – such as those in energy hardship or with </w:t>
      </w:r>
      <w:r w:rsidR="005E3785">
        <w:rPr>
          <w:rFonts w:cstheme="minorHAnsi"/>
          <w:color w:val="000000" w:themeColor="text1"/>
          <w:lang w:eastAsia="en-NZ"/>
        </w:rPr>
        <w:t xml:space="preserve">sub-prime </w:t>
      </w:r>
      <w:r w:rsidR="00AC3AA1">
        <w:rPr>
          <w:rFonts w:cstheme="minorHAnsi"/>
          <w:color w:val="000000" w:themeColor="text1"/>
          <w:lang w:eastAsia="en-NZ"/>
        </w:rPr>
        <w:t xml:space="preserve">credit ratings. </w:t>
      </w:r>
      <w:r w:rsidR="002B2219">
        <w:rPr>
          <w:rFonts w:cstheme="minorHAnsi"/>
          <w:color w:val="000000" w:themeColor="text1"/>
          <w:lang w:eastAsia="en-NZ"/>
        </w:rPr>
        <w:t>This would not involve the government establishing a stand-alone electricity retailer.</w:t>
      </w:r>
    </w:p>
    <w:p w14:paraId="63D1E10A" w14:textId="77777777" w:rsidR="008F6544" w:rsidRPr="008F6544" w:rsidRDefault="005E3785" w:rsidP="009E312C">
      <w:pPr>
        <w:pStyle w:val="ListParagraph"/>
        <w:widowControl w:val="0"/>
        <w:numPr>
          <w:ilvl w:val="0"/>
          <w:numId w:val="12"/>
        </w:numPr>
        <w:ind w:left="567" w:hanging="425"/>
        <w:jc w:val="both"/>
        <w:rPr>
          <w:rFonts w:cstheme="minorHAnsi"/>
          <w:b/>
          <w:color w:val="000000" w:themeColor="text1"/>
          <w:lang w:eastAsia="en-NZ"/>
        </w:rPr>
      </w:pPr>
      <w:r w:rsidRPr="008F6544">
        <w:rPr>
          <w:rFonts w:cstheme="minorHAnsi"/>
          <w:color w:val="000000" w:themeColor="text1"/>
          <w:lang w:eastAsia="en-NZ"/>
        </w:rPr>
        <w:t xml:space="preserve">This could involve </w:t>
      </w:r>
      <w:r w:rsidR="0006143F" w:rsidRPr="008F6544">
        <w:rPr>
          <w:rFonts w:cstheme="minorHAnsi"/>
          <w:color w:val="000000" w:themeColor="text1"/>
          <w:lang w:eastAsia="en-NZ"/>
        </w:rPr>
        <w:t xml:space="preserve">aggregating the purchasing power of households at risk of experiencing energy </w:t>
      </w:r>
      <w:r w:rsidRPr="008F6544">
        <w:rPr>
          <w:rFonts w:cstheme="minorHAnsi"/>
          <w:color w:val="000000" w:themeColor="text1"/>
          <w:lang w:eastAsia="en-NZ"/>
        </w:rPr>
        <w:t xml:space="preserve">hardship </w:t>
      </w:r>
      <w:r w:rsidR="0006143F" w:rsidRPr="008F6544">
        <w:rPr>
          <w:rFonts w:cstheme="minorHAnsi"/>
          <w:color w:val="000000" w:themeColor="text1"/>
          <w:lang w:eastAsia="en-NZ"/>
        </w:rPr>
        <w:t xml:space="preserve">or exploring options for “credit wrapping” </w:t>
      </w:r>
      <w:r w:rsidR="003E49E6" w:rsidRPr="008F6544">
        <w:rPr>
          <w:rFonts w:cstheme="minorHAnsi"/>
          <w:color w:val="000000" w:themeColor="text1"/>
          <w:lang w:eastAsia="en-NZ"/>
        </w:rPr>
        <w:t>– i.e.</w:t>
      </w:r>
      <w:r w:rsidR="0006143F" w:rsidRPr="008F6544">
        <w:rPr>
          <w:rFonts w:cstheme="minorHAnsi"/>
          <w:color w:val="000000" w:themeColor="text1"/>
          <w:lang w:eastAsia="en-NZ"/>
        </w:rPr>
        <w:t xml:space="preserve"> providing </w:t>
      </w:r>
      <w:r w:rsidR="003E49E6" w:rsidRPr="008F6544">
        <w:rPr>
          <w:rFonts w:cstheme="minorHAnsi"/>
          <w:color w:val="000000" w:themeColor="text1"/>
          <w:lang w:eastAsia="en-NZ"/>
        </w:rPr>
        <w:t xml:space="preserve">a </w:t>
      </w:r>
      <w:r w:rsidR="0006143F" w:rsidRPr="008F6544">
        <w:rPr>
          <w:rFonts w:cstheme="minorHAnsi"/>
          <w:color w:val="000000" w:themeColor="text1"/>
          <w:lang w:eastAsia="en-NZ"/>
        </w:rPr>
        <w:t>guarantee or security to ensure that this group of customers are able to pay their electricity bills.</w:t>
      </w:r>
    </w:p>
    <w:p w14:paraId="684BEB0B" w14:textId="6A19B1DA" w:rsidR="00481600" w:rsidRPr="00012BB4" w:rsidRDefault="0074550D" w:rsidP="008E631A">
      <w:pPr>
        <w:pStyle w:val="Heading2"/>
        <w:spacing w:after="360"/>
        <w:rPr>
          <w:lang w:eastAsia="en-NZ"/>
        </w:rPr>
      </w:pPr>
      <w:r w:rsidRPr="00F259E4">
        <w:rPr>
          <w:lang w:eastAsia="en-NZ"/>
        </w:rPr>
        <w:t>Recommendation</w:t>
      </w:r>
      <w:r w:rsidR="00006985">
        <w:rPr>
          <w:lang w:eastAsia="en-NZ"/>
        </w:rPr>
        <w:t xml:space="preserve"> 3.3</w:t>
      </w:r>
      <w:r w:rsidRPr="00F259E4">
        <w:rPr>
          <w:lang w:eastAsia="en-NZ"/>
        </w:rPr>
        <w:t xml:space="preserve">: </w:t>
      </w:r>
      <w:r w:rsidR="009453E2">
        <w:rPr>
          <w:lang w:eastAsia="en-NZ"/>
        </w:rPr>
        <w:t>T</w:t>
      </w:r>
      <w:r w:rsidR="00280DC6" w:rsidRPr="00280DC6">
        <w:rPr>
          <w:lang w:eastAsia="en-NZ"/>
        </w:rPr>
        <w:t xml:space="preserve">hat the Winter Energy Payment be reviewed so it is targeted at those in energy hardship – which needs to be well-defined by a broad set of relevant factors (e.g. income, energy costs, quality of housing, household make-up, etc). </w:t>
      </w:r>
      <w:bookmarkStart w:id="1" w:name="_Toc521323367"/>
    </w:p>
    <w:p w14:paraId="2392B3EE" w14:textId="1A1665CB" w:rsidR="00E31ED2" w:rsidRPr="00F259E4" w:rsidRDefault="00E31ED2" w:rsidP="00481600">
      <w:pPr>
        <w:pStyle w:val="Heading2"/>
      </w:pPr>
      <w:r w:rsidRPr="00F259E4">
        <w:t>Su</w:t>
      </w:r>
      <w:r w:rsidR="00EC1683" w:rsidRPr="00F259E4">
        <w:t>mmary of feedback on Part t</w:t>
      </w:r>
      <w:r w:rsidRPr="00F259E4">
        <w:t>hree</w:t>
      </w:r>
    </w:p>
    <w:p w14:paraId="55E6292F" w14:textId="411166B5" w:rsidR="00B63FE2" w:rsidRPr="00F259E4" w:rsidRDefault="00B63FE2" w:rsidP="00634BA3">
      <w:pPr>
        <w:pStyle w:val="ListParagraph"/>
        <w:widowControl w:val="0"/>
        <w:numPr>
          <w:ilvl w:val="0"/>
          <w:numId w:val="1"/>
        </w:numPr>
        <w:spacing w:after="240"/>
        <w:ind w:left="425" w:hanging="425"/>
        <w:contextualSpacing w:val="0"/>
        <w:rPr>
          <w:rFonts w:cstheme="minorHAnsi"/>
          <w:b/>
        </w:rPr>
      </w:pPr>
      <w:r w:rsidRPr="00F259E4">
        <w:rPr>
          <w:rFonts w:cstheme="minorHAnsi"/>
          <w:b/>
        </w:rPr>
        <w:t xml:space="preserve">Please summarise your key points on Part </w:t>
      </w:r>
      <w:r w:rsidR="003201A8">
        <w:rPr>
          <w:rFonts w:cstheme="minorHAnsi"/>
          <w:b/>
        </w:rPr>
        <w:t>t</w:t>
      </w:r>
      <w:r w:rsidRPr="00F259E4">
        <w:rPr>
          <w:rFonts w:cstheme="minorHAnsi"/>
          <w:b/>
        </w:rPr>
        <w:t>hree.</w:t>
      </w:r>
    </w:p>
    <w:p w14:paraId="1162A56A" w14:textId="5C33E1ED" w:rsidR="00E31ED2" w:rsidRPr="00F259E4" w:rsidRDefault="002B0523" w:rsidP="00D13C65">
      <w:pPr>
        <w:spacing w:after="120"/>
        <w:jc w:val="both"/>
        <w:rPr>
          <w:rFonts w:cstheme="minorHAnsi"/>
          <w:b/>
        </w:rPr>
      </w:pPr>
      <w:r w:rsidRPr="00F259E4">
        <w:rPr>
          <w:rFonts w:cstheme="minorHAnsi"/>
          <w:b/>
        </w:rPr>
        <w:t>Consumers’ priorities</w:t>
      </w:r>
    </w:p>
    <w:p w14:paraId="570F5A8D" w14:textId="07632ECD" w:rsidR="002B0523" w:rsidRPr="00F259E4" w:rsidRDefault="002B0523" w:rsidP="00273087">
      <w:pPr>
        <w:pStyle w:val="ListParagraph"/>
        <w:numPr>
          <w:ilvl w:val="0"/>
          <w:numId w:val="27"/>
        </w:numPr>
        <w:ind w:left="851" w:hanging="425"/>
        <w:contextualSpacing w:val="0"/>
        <w:rPr>
          <w:rFonts w:cstheme="minorHAnsi"/>
        </w:rPr>
      </w:pPr>
      <w:r w:rsidRPr="00F259E4">
        <w:rPr>
          <w:rFonts w:cstheme="minorHAnsi"/>
        </w:rPr>
        <w:t>As well as valuing reliability</w:t>
      </w:r>
      <w:r w:rsidR="00D55B2E" w:rsidRPr="00F259E4">
        <w:rPr>
          <w:rFonts w:cstheme="minorHAnsi"/>
        </w:rPr>
        <w:t xml:space="preserve">, fairness and affordability, ENA research shows that consumers value </w:t>
      </w:r>
      <w:r w:rsidR="00D55B2E" w:rsidRPr="00F259E4">
        <w:rPr>
          <w:rFonts w:cstheme="minorHAnsi"/>
          <w:i/>
        </w:rPr>
        <w:t>simplicity</w:t>
      </w:r>
      <w:r w:rsidR="00D55B2E" w:rsidRPr="00F259E4">
        <w:rPr>
          <w:rFonts w:cstheme="minorHAnsi"/>
        </w:rPr>
        <w:t>.</w:t>
      </w:r>
    </w:p>
    <w:p w14:paraId="03073210" w14:textId="06C01528" w:rsidR="00E1276A" w:rsidRDefault="00373A61" w:rsidP="00273087">
      <w:pPr>
        <w:pStyle w:val="ListParagraph"/>
        <w:numPr>
          <w:ilvl w:val="0"/>
          <w:numId w:val="27"/>
        </w:numPr>
        <w:spacing w:after="240"/>
        <w:ind w:left="850" w:hanging="425"/>
        <w:contextualSpacing w:val="0"/>
        <w:rPr>
          <w:rFonts w:cstheme="minorHAnsi"/>
        </w:rPr>
      </w:pPr>
      <w:r w:rsidRPr="00F259E4">
        <w:rPr>
          <w:rFonts w:cstheme="minorHAnsi"/>
        </w:rPr>
        <w:t>Consumers generally don’t want to spend much time thinking about their electricity supply</w:t>
      </w:r>
      <w:r w:rsidR="00990F59" w:rsidRPr="00F259E4">
        <w:rPr>
          <w:rFonts w:cstheme="minorHAnsi"/>
        </w:rPr>
        <w:t xml:space="preserve"> </w:t>
      </w:r>
      <w:r w:rsidR="001E65EE" w:rsidRPr="00F259E4">
        <w:rPr>
          <w:rFonts w:cstheme="minorHAnsi"/>
        </w:rPr>
        <w:t>options or</w:t>
      </w:r>
      <w:r w:rsidR="00F71C8D" w:rsidRPr="00F259E4">
        <w:rPr>
          <w:rFonts w:cstheme="minorHAnsi"/>
        </w:rPr>
        <w:t xml:space="preserve"> trying to understand </w:t>
      </w:r>
      <w:r w:rsidR="00CE3EC5">
        <w:rPr>
          <w:rFonts w:cstheme="minorHAnsi"/>
        </w:rPr>
        <w:t>these</w:t>
      </w:r>
      <w:r w:rsidR="00F71C8D" w:rsidRPr="00F259E4">
        <w:rPr>
          <w:rFonts w:cstheme="minorHAnsi"/>
        </w:rPr>
        <w:t xml:space="preserve"> complexities</w:t>
      </w:r>
      <w:r w:rsidR="00990F59" w:rsidRPr="00F259E4">
        <w:rPr>
          <w:rFonts w:cstheme="minorHAnsi"/>
        </w:rPr>
        <w:t>.</w:t>
      </w:r>
    </w:p>
    <w:p w14:paraId="540E3D96" w14:textId="24B381AF" w:rsidR="00E1276A" w:rsidRPr="00F259E4" w:rsidRDefault="005E2F91" w:rsidP="00D13C65">
      <w:pPr>
        <w:spacing w:after="120"/>
        <w:rPr>
          <w:rFonts w:cstheme="minorHAnsi"/>
          <w:b/>
        </w:rPr>
      </w:pPr>
      <w:r w:rsidRPr="00F259E4">
        <w:rPr>
          <w:rFonts w:cstheme="minorHAnsi"/>
          <w:b/>
        </w:rPr>
        <w:t>Effective c</w:t>
      </w:r>
      <w:r w:rsidR="00990F59" w:rsidRPr="00F259E4">
        <w:rPr>
          <w:rFonts w:cstheme="minorHAnsi"/>
          <w:b/>
        </w:rPr>
        <w:t>onsumer voice</w:t>
      </w:r>
    </w:p>
    <w:p w14:paraId="133D89F7" w14:textId="5E5CBCF8" w:rsidR="00990F59" w:rsidRPr="00F259E4" w:rsidRDefault="00F60285" w:rsidP="00273087">
      <w:pPr>
        <w:pStyle w:val="ListParagraph"/>
        <w:numPr>
          <w:ilvl w:val="0"/>
          <w:numId w:val="28"/>
        </w:numPr>
        <w:ind w:left="851" w:hanging="425"/>
        <w:contextualSpacing w:val="0"/>
        <w:rPr>
          <w:rFonts w:cstheme="minorHAnsi"/>
        </w:rPr>
      </w:pPr>
      <w:r w:rsidRPr="00F259E4">
        <w:rPr>
          <w:rFonts w:cstheme="minorHAnsi"/>
        </w:rPr>
        <w:t>Most</w:t>
      </w:r>
      <w:r w:rsidR="00421A86" w:rsidRPr="00F259E4">
        <w:rPr>
          <w:rFonts w:cstheme="minorHAnsi"/>
        </w:rPr>
        <w:t xml:space="preserve"> residential consumers,</w:t>
      </w:r>
      <w:r w:rsidR="00540CCB" w:rsidRPr="00F259E4">
        <w:rPr>
          <w:rFonts w:cstheme="minorHAnsi"/>
        </w:rPr>
        <w:t xml:space="preserve"> apart from </w:t>
      </w:r>
      <w:r w:rsidR="00230465">
        <w:rPr>
          <w:rFonts w:cstheme="minorHAnsi"/>
        </w:rPr>
        <w:t xml:space="preserve">occasionally </w:t>
      </w:r>
      <w:r w:rsidR="00540CCB" w:rsidRPr="00F259E4">
        <w:rPr>
          <w:rFonts w:cstheme="minorHAnsi"/>
        </w:rPr>
        <w:t xml:space="preserve">changing retailers, prefer to be passive consumers. </w:t>
      </w:r>
      <w:r w:rsidR="00300BD5" w:rsidRPr="00F259E4">
        <w:rPr>
          <w:rFonts w:cstheme="minorHAnsi"/>
        </w:rPr>
        <w:t>They are</w:t>
      </w:r>
      <w:r w:rsidR="00900625" w:rsidRPr="00F259E4">
        <w:rPr>
          <w:rFonts w:cstheme="minorHAnsi"/>
        </w:rPr>
        <w:t xml:space="preserve"> </w:t>
      </w:r>
      <w:r w:rsidR="00300BD5" w:rsidRPr="00F259E4">
        <w:rPr>
          <w:rFonts w:cstheme="minorHAnsi"/>
        </w:rPr>
        <w:t>easily turned off by what they regard as an overly comple</w:t>
      </w:r>
      <w:r w:rsidR="00900625" w:rsidRPr="00F259E4">
        <w:rPr>
          <w:rFonts w:cstheme="minorHAnsi"/>
        </w:rPr>
        <w:t>x system</w:t>
      </w:r>
      <w:r w:rsidR="00C615D0" w:rsidRPr="00F259E4">
        <w:rPr>
          <w:rFonts w:cstheme="minorHAnsi"/>
        </w:rPr>
        <w:t xml:space="preserve"> </w:t>
      </w:r>
      <w:r w:rsidR="003E019E" w:rsidRPr="00F259E4">
        <w:rPr>
          <w:rFonts w:cstheme="minorHAnsi"/>
        </w:rPr>
        <w:t xml:space="preserve">but </w:t>
      </w:r>
      <w:r w:rsidR="004E2E60" w:rsidRPr="00F259E4">
        <w:rPr>
          <w:rFonts w:cstheme="minorHAnsi"/>
        </w:rPr>
        <w:t xml:space="preserve">also </w:t>
      </w:r>
      <w:r w:rsidR="003E019E" w:rsidRPr="00F259E4">
        <w:rPr>
          <w:rFonts w:cstheme="minorHAnsi"/>
        </w:rPr>
        <w:t>have an underlying</w:t>
      </w:r>
      <w:r w:rsidR="00C615D0" w:rsidRPr="00F259E4">
        <w:rPr>
          <w:rFonts w:cstheme="minorHAnsi"/>
        </w:rPr>
        <w:t xml:space="preserve"> di</w:t>
      </w:r>
      <w:r w:rsidR="00CA2824" w:rsidRPr="00F259E4">
        <w:rPr>
          <w:rFonts w:cstheme="minorHAnsi"/>
        </w:rPr>
        <w:t xml:space="preserve">strust that the </w:t>
      </w:r>
      <w:r w:rsidR="007A7088">
        <w:rPr>
          <w:rFonts w:cstheme="minorHAnsi"/>
        </w:rPr>
        <w:t xml:space="preserve">entire electricity </w:t>
      </w:r>
      <w:r w:rsidR="00CA2824" w:rsidRPr="00F259E4">
        <w:rPr>
          <w:rFonts w:cstheme="minorHAnsi"/>
        </w:rPr>
        <w:t>industry is working in their best interests.</w:t>
      </w:r>
    </w:p>
    <w:p w14:paraId="6F138331" w14:textId="135BF311" w:rsidR="00CA2824" w:rsidRPr="00F259E4" w:rsidRDefault="0014783F" w:rsidP="00273087">
      <w:pPr>
        <w:pStyle w:val="ListParagraph"/>
        <w:numPr>
          <w:ilvl w:val="0"/>
          <w:numId w:val="28"/>
        </w:numPr>
        <w:spacing w:after="240"/>
        <w:ind w:left="850" w:hanging="425"/>
        <w:contextualSpacing w:val="0"/>
        <w:rPr>
          <w:rFonts w:cstheme="minorHAnsi"/>
        </w:rPr>
      </w:pPr>
      <w:r w:rsidRPr="00F259E4">
        <w:rPr>
          <w:rFonts w:cstheme="minorHAnsi"/>
        </w:rPr>
        <w:t xml:space="preserve">It is highly likely </w:t>
      </w:r>
      <w:r w:rsidR="003E019E" w:rsidRPr="00F259E4">
        <w:rPr>
          <w:rFonts w:cstheme="minorHAnsi"/>
        </w:rPr>
        <w:t xml:space="preserve">therefore </w:t>
      </w:r>
      <w:r w:rsidRPr="00F259E4">
        <w:rPr>
          <w:rFonts w:cstheme="minorHAnsi"/>
        </w:rPr>
        <w:t>that consumers</w:t>
      </w:r>
      <w:r w:rsidR="0068217F" w:rsidRPr="00F259E4">
        <w:rPr>
          <w:rFonts w:cstheme="minorHAnsi"/>
        </w:rPr>
        <w:t xml:space="preserve"> would </w:t>
      </w:r>
      <w:r w:rsidR="003E019E" w:rsidRPr="00F259E4">
        <w:rPr>
          <w:rFonts w:cstheme="minorHAnsi"/>
        </w:rPr>
        <w:t>support</w:t>
      </w:r>
      <w:r w:rsidR="0068217F" w:rsidRPr="00F259E4">
        <w:rPr>
          <w:rFonts w:cstheme="minorHAnsi"/>
        </w:rPr>
        <w:t xml:space="preserve"> an independent advocate working on their behalf.</w:t>
      </w:r>
    </w:p>
    <w:p w14:paraId="5B36E537" w14:textId="3E583D0D" w:rsidR="005E2F91" w:rsidRPr="00F259E4" w:rsidRDefault="002D29A0" w:rsidP="00D13C65">
      <w:pPr>
        <w:spacing w:after="120"/>
        <w:rPr>
          <w:rFonts w:cstheme="minorHAnsi"/>
          <w:b/>
        </w:rPr>
      </w:pPr>
      <w:r w:rsidRPr="00F259E4">
        <w:rPr>
          <w:rFonts w:cstheme="minorHAnsi"/>
          <w:b/>
        </w:rPr>
        <w:t>Consumers’ trust</w:t>
      </w:r>
    </w:p>
    <w:p w14:paraId="5A2AEFF1" w14:textId="34C8A8E9" w:rsidR="002D29A0" w:rsidRPr="00F259E4" w:rsidRDefault="00BF5089" w:rsidP="00273087">
      <w:pPr>
        <w:pStyle w:val="ListParagraph"/>
        <w:numPr>
          <w:ilvl w:val="0"/>
          <w:numId w:val="29"/>
        </w:numPr>
        <w:ind w:left="851" w:hanging="425"/>
        <w:contextualSpacing w:val="0"/>
        <w:rPr>
          <w:rFonts w:cstheme="minorHAnsi"/>
        </w:rPr>
      </w:pPr>
      <w:r w:rsidRPr="00F259E4">
        <w:rPr>
          <w:rFonts w:cstheme="minorHAnsi"/>
        </w:rPr>
        <w:t>There is w</w:t>
      </w:r>
      <w:r w:rsidR="00116473" w:rsidRPr="00F259E4">
        <w:rPr>
          <w:rFonts w:cstheme="minorHAnsi"/>
        </w:rPr>
        <w:t xml:space="preserve">idespread distrust </w:t>
      </w:r>
      <w:r w:rsidRPr="00F259E4">
        <w:rPr>
          <w:rFonts w:cstheme="minorHAnsi"/>
        </w:rPr>
        <w:t xml:space="preserve">amongst consumers </w:t>
      </w:r>
      <w:r w:rsidR="00977FF7">
        <w:rPr>
          <w:rFonts w:cstheme="minorHAnsi"/>
        </w:rPr>
        <w:t>on</w:t>
      </w:r>
      <w:r w:rsidR="0055314A">
        <w:rPr>
          <w:rFonts w:cstheme="minorHAnsi"/>
        </w:rPr>
        <w:t xml:space="preserve"> whether</w:t>
      </w:r>
      <w:r w:rsidR="00116473" w:rsidRPr="00F259E4">
        <w:rPr>
          <w:rFonts w:cstheme="minorHAnsi"/>
        </w:rPr>
        <w:t xml:space="preserve"> </w:t>
      </w:r>
      <w:r w:rsidR="004E2E60" w:rsidRPr="00F259E4">
        <w:rPr>
          <w:rFonts w:cstheme="minorHAnsi"/>
        </w:rPr>
        <w:t xml:space="preserve">the </w:t>
      </w:r>
      <w:r w:rsidR="00116473" w:rsidRPr="00F259E4">
        <w:rPr>
          <w:rFonts w:cstheme="minorHAnsi"/>
        </w:rPr>
        <w:t>sector as a whole is working in their best interests</w:t>
      </w:r>
      <w:r w:rsidR="000F4759" w:rsidRPr="00F259E4">
        <w:rPr>
          <w:rFonts w:cstheme="minorHAnsi"/>
        </w:rPr>
        <w:t>.</w:t>
      </w:r>
    </w:p>
    <w:p w14:paraId="671A16AD" w14:textId="739A050E" w:rsidR="000F4759" w:rsidRPr="00F259E4" w:rsidRDefault="000F4759" w:rsidP="00273087">
      <w:pPr>
        <w:pStyle w:val="ListParagraph"/>
        <w:numPr>
          <w:ilvl w:val="0"/>
          <w:numId w:val="29"/>
        </w:numPr>
        <w:spacing w:after="240"/>
        <w:ind w:left="850" w:hanging="425"/>
        <w:contextualSpacing w:val="0"/>
        <w:rPr>
          <w:rFonts w:cstheme="minorHAnsi"/>
        </w:rPr>
      </w:pPr>
      <w:r w:rsidRPr="00F259E4">
        <w:rPr>
          <w:rFonts w:cstheme="minorHAnsi"/>
        </w:rPr>
        <w:t>Generally</w:t>
      </w:r>
      <w:r w:rsidR="00E675F1" w:rsidRPr="00F259E4">
        <w:rPr>
          <w:rFonts w:cstheme="minorHAnsi"/>
        </w:rPr>
        <w:t>, consumers</w:t>
      </w:r>
      <w:r w:rsidRPr="00F259E4">
        <w:rPr>
          <w:rFonts w:cstheme="minorHAnsi"/>
        </w:rPr>
        <w:t xml:space="preserve"> trust netw</w:t>
      </w:r>
      <w:r w:rsidR="00E308BE" w:rsidRPr="00F259E4">
        <w:rPr>
          <w:rFonts w:cstheme="minorHAnsi"/>
        </w:rPr>
        <w:t>o</w:t>
      </w:r>
      <w:r w:rsidRPr="00F259E4">
        <w:rPr>
          <w:rFonts w:cstheme="minorHAnsi"/>
        </w:rPr>
        <w:t>rks in terms of reliability</w:t>
      </w:r>
      <w:r w:rsidR="00E308BE" w:rsidRPr="00F259E4">
        <w:rPr>
          <w:rFonts w:cstheme="minorHAnsi"/>
        </w:rPr>
        <w:t xml:space="preserve">, safety and resilience and generally much goodwill </w:t>
      </w:r>
      <w:r w:rsidR="00E72576" w:rsidRPr="00F259E4">
        <w:rPr>
          <w:rFonts w:cstheme="minorHAnsi"/>
        </w:rPr>
        <w:t xml:space="preserve">is </w:t>
      </w:r>
      <w:r w:rsidR="00E308BE" w:rsidRPr="00F259E4">
        <w:rPr>
          <w:rFonts w:cstheme="minorHAnsi"/>
        </w:rPr>
        <w:t xml:space="preserve">generated by </w:t>
      </w:r>
      <w:r w:rsidR="00E72576" w:rsidRPr="00F259E4">
        <w:rPr>
          <w:rFonts w:cstheme="minorHAnsi"/>
        </w:rPr>
        <w:t>maintenance line</w:t>
      </w:r>
      <w:r w:rsidR="008C2414" w:rsidRPr="00F259E4">
        <w:rPr>
          <w:rFonts w:cstheme="minorHAnsi"/>
        </w:rPr>
        <w:t xml:space="preserve">s crews’ </w:t>
      </w:r>
      <w:r w:rsidR="00E308BE" w:rsidRPr="00F259E4">
        <w:rPr>
          <w:rFonts w:cstheme="minorHAnsi"/>
        </w:rPr>
        <w:t>storm/outage recovery efforts in adverse weather conditions.</w:t>
      </w:r>
    </w:p>
    <w:p w14:paraId="1A30A157" w14:textId="221F31B5" w:rsidR="00E84C5C" w:rsidRPr="00F259E4" w:rsidRDefault="00E84C5C" w:rsidP="00D13C65">
      <w:pPr>
        <w:spacing w:after="120"/>
        <w:rPr>
          <w:rFonts w:cstheme="minorHAnsi"/>
          <w:b/>
        </w:rPr>
      </w:pPr>
      <w:r w:rsidRPr="00F259E4">
        <w:rPr>
          <w:rFonts w:cstheme="minorHAnsi"/>
          <w:b/>
        </w:rPr>
        <w:t>Price</w:t>
      </w:r>
      <w:r w:rsidR="00DE1BBB" w:rsidRPr="00F259E4">
        <w:rPr>
          <w:rFonts w:cstheme="minorHAnsi"/>
          <w:b/>
        </w:rPr>
        <w:t xml:space="preserve"> changes</w:t>
      </w:r>
    </w:p>
    <w:p w14:paraId="3D949A8A" w14:textId="6A07B9CF" w:rsidR="00E84C5C" w:rsidRPr="00F259E4" w:rsidRDefault="00DE1BBB" w:rsidP="00273087">
      <w:pPr>
        <w:pStyle w:val="ListParagraph"/>
        <w:numPr>
          <w:ilvl w:val="0"/>
          <w:numId w:val="30"/>
        </w:numPr>
        <w:ind w:left="851" w:hanging="425"/>
        <w:contextualSpacing w:val="0"/>
        <w:rPr>
          <w:rFonts w:cstheme="minorHAnsi"/>
        </w:rPr>
      </w:pPr>
      <w:r w:rsidRPr="00F259E4">
        <w:rPr>
          <w:rFonts w:cstheme="minorHAnsi"/>
        </w:rPr>
        <w:t>ENA d</w:t>
      </w:r>
      <w:r w:rsidR="00BB674B" w:rsidRPr="00F259E4">
        <w:rPr>
          <w:rFonts w:cstheme="minorHAnsi"/>
        </w:rPr>
        <w:t>ispute</w:t>
      </w:r>
      <w:r w:rsidRPr="00F259E4">
        <w:rPr>
          <w:rFonts w:cstheme="minorHAnsi"/>
        </w:rPr>
        <w:t>s</w:t>
      </w:r>
      <w:r w:rsidR="00BB674B" w:rsidRPr="00F259E4">
        <w:rPr>
          <w:rFonts w:cstheme="minorHAnsi"/>
        </w:rPr>
        <w:t xml:space="preserve"> </w:t>
      </w:r>
      <w:r w:rsidR="00F66E32" w:rsidRPr="00F259E4">
        <w:rPr>
          <w:rFonts w:cstheme="minorHAnsi"/>
        </w:rPr>
        <w:t xml:space="preserve">that </w:t>
      </w:r>
      <w:r w:rsidR="00BB674B" w:rsidRPr="00F259E4">
        <w:rPr>
          <w:rFonts w:cstheme="minorHAnsi"/>
        </w:rPr>
        <w:t xml:space="preserve">the data from 1990 </w:t>
      </w:r>
      <w:r w:rsidR="009957D0" w:rsidRPr="00F259E4">
        <w:rPr>
          <w:rFonts w:cstheme="minorHAnsi"/>
        </w:rPr>
        <w:t>i</w:t>
      </w:r>
      <w:r w:rsidR="00BB674B" w:rsidRPr="00F259E4">
        <w:rPr>
          <w:rFonts w:cstheme="minorHAnsi"/>
        </w:rPr>
        <w:t>s reliable</w:t>
      </w:r>
      <w:r w:rsidR="009957D0" w:rsidRPr="00F259E4">
        <w:rPr>
          <w:rFonts w:cstheme="minorHAnsi"/>
        </w:rPr>
        <w:t xml:space="preserve"> or accurate in terms of distribution pricing</w:t>
      </w:r>
      <w:r w:rsidR="006C6FEC" w:rsidRPr="00F259E4">
        <w:rPr>
          <w:rFonts w:cstheme="minorHAnsi"/>
        </w:rPr>
        <w:t>.</w:t>
      </w:r>
    </w:p>
    <w:p w14:paraId="513EB514" w14:textId="67C2DC14" w:rsidR="006C6FEC" w:rsidRPr="00F259E4" w:rsidRDefault="006C6FEC" w:rsidP="00273087">
      <w:pPr>
        <w:pStyle w:val="ListParagraph"/>
        <w:numPr>
          <w:ilvl w:val="0"/>
          <w:numId w:val="30"/>
        </w:numPr>
        <w:spacing w:after="240"/>
        <w:ind w:left="850" w:hanging="425"/>
        <w:contextualSpacing w:val="0"/>
        <w:rPr>
          <w:rFonts w:cstheme="minorHAnsi"/>
        </w:rPr>
      </w:pPr>
      <w:r w:rsidRPr="00F259E4">
        <w:rPr>
          <w:rFonts w:cstheme="minorHAnsi"/>
        </w:rPr>
        <w:lastRenderedPageBreak/>
        <w:t>Analysis</w:t>
      </w:r>
      <w:r w:rsidR="000706E5" w:rsidRPr="00F259E4">
        <w:rPr>
          <w:rFonts w:cstheme="minorHAnsi"/>
        </w:rPr>
        <w:t xml:space="preserve"> by PwC of price changes</w:t>
      </w:r>
      <w:r w:rsidR="00884F7E" w:rsidRPr="00F259E4">
        <w:rPr>
          <w:rFonts w:cstheme="minorHAnsi"/>
        </w:rPr>
        <w:t xml:space="preserve"> between 2004 and 2017 shows distribution charges</w:t>
      </w:r>
      <w:r w:rsidR="003F1185" w:rsidRPr="00F259E4">
        <w:rPr>
          <w:rFonts w:cstheme="minorHAnsi"/>
        </w:rPr>
        <w:t xml:space="preserve"> increasing an average of 1.4 percent per year in real terms, the lowest rate of increase of any of the five compon</w:t>
      </w:r>
      <w:r w:rsidR="00761752" w:rsidRPr="00F259E4">
        <w:rPr>
          <w:rFonts w:cstheme="minorHAnsi"/>
        </w:rPr>
        <w:t>e</w:t>
      </w:r>
      <w:r w:rsidR="003F1185" w:rsidRPr="00F259E4">
        <w:rPr>
          <w:rFonts w:cstheme="minorHAnsi"/>
        </w:rPr>
        <w:t>nts</w:t>
      </w:r>
      <w:r w:rsidR="00D50955" w:rsidRPr="00F259E4">
        <w:rPr>
          <w:rFonts w:cstheme="minorHAnsi"/>
        </w:rPr>
        <w:t xml:space="preserve"> of an electricity bill.</w:t>
      </w:r>
    </w:p>
    <w:p w14:paraId="4358BFCB" w14:textId="48E995CD" w:rsidR="00DE1BBB" w:rsidRPr="00F259E4" w:rsidRDefault="00DE1BBB" w:rsidP="00D13C65">
      <w:pPr>
        <w:spacing w:after="120"/>
        <w:rPr>
          <w:rFonts w:cstheme="minorHAnsi"/>
          <w:b/>
        </w:rPr>
      </w:pPr>
      <w:r w:rsidRPr="00F259E4">
        <w:rPr>
          <w:rFonts w:cstheme="minorHAnsi"/>
          <w:b/>
        </w:rPr>
        <w:t>International price comparisons</w:t>
      </w:r>
    </w:p>
    <w:p w14:paraId="7F3D38AB" w14:textId="28DD95BB" w:rsidR="007D53C3" w:rsidRPr="00F259E4" w:rsidRDefault="00AB6833" w:rsidP="00273087">
      <w:pPr>
        <w:pStyle w:val="ListParagraph"/>
        <w:numPr>
          <w:ilvl w:val="0"/>
          <w:numId w:val="31"/>
        </w:numPr>
        <w:spacing w:after="240"/>
        <w:ind w:left="850" w:hanging="425"/>
        <w:contextualSpacing w:val="0"/>
        <w:rPr>
          <w:rFonts w:cstheme="minorHAnsi"/>
        </w:rPr>
      </w:pPr>
      <w:r w:rsidRPr="00F259E4">
        <w:rPr>
          <w:rFonts w:cstheme="minorHAnsi"/>
        </w:rPr>
        <w:t xml:space="preserve">NZ compares </w:t>
      </w:r>
      <w:r w:rsidR="00A67783" w:rsidRPr="00F259E4">
        <w:rPr>
          <w:rFonts w:cstheme="minorHAnsi"/>
        </w:rPr>
        <w:t xml:space="preserve">reasonably </w:t>
      </w:r>
      <w:r w:rsidRPr="00F259E4">
        <w:rPr>
          <w:rFonts w:cstheme="minorHAnsi"/>
        </w:rPr>
        <w:t>favourably with other OECD countries</w:t>
      </w:r>
      <w:r w:rsidR="00CA7739" w:rsidRPr="00F259E4">
        <w:rPr>
          <w:rFonts w:cstheme="minorHAnsi"/>
        </w:rPr>
        <w:t>, but there is a significant problem of affordability for</w:t>
      </w:r>
      <w:r w:rsidR="002F5820" w:rsidRPr="00F259E4">
        <w:rPr>
          <w:rFonts w:cstheme="minorHAnsi"/>
        </w:rPr>
        <w:t xml:space="preserve"> some consumers.</w:t>
      </w:r>
    </w:p>
    <w:p w14:paraId="0D78B3F4" w14:textId="24585B58" w:rsidR="00A67783" w:rsidRPr="00F259E4" w:rsidRDefault="003D28F4" w:rsidP="00D13C65">
      <w:pPr>
        <w:spacing w:after="120"/>
        <w:jc w:val="both"/>
        <w:rPr>
          <w:rFonts w:cstheme="minorHAnsi"/>
          <w:b/>
        </w:rPr>
      </w:pPr>
      <w:r w:rsidRPr="00F259E4">
        <w:rPr>
          <w:rFonts w:cstheme="minorHAnsi"/>
          <w:b/>
        </w:rPr>
        <w:t>Outlook for prices</w:t>
      </w:r>
    </w:p>
    <w:p w14:paraId="6ECE01C5" w14:textId="1D607CFC" w:rsidR="00A64E96" w:rsidRPr="00F259E4" w:rsidRDefault="00A34E6C" w:rsidP="00273087">
      <w:pPr>
        <w:pStyle w:val="ListParagraph"/>
        <w:numPr>
          <w:ilvl w:val="0"/>
          <w:numId w:val="31"/>
        </w:numPr>
        <w:ind w:left="851" w:hanging="425"/>
        <w:contextualSpacing w:val="0"/>
        <w:jc w:val="both"/>
        <w:rPr>
          <w:rFonts w:cstheme="minorHAnsi"/>
        </w:rPr>
      </w:pPr>
      <w:r w:rsidRPr="00F259E4">
        <w:rPr>
          <w:rFonts w:cstheme="minorHAnsi"/>
        </w:rPr>
        <w:t>Future changes in distribution pricing</w:t>
      </w:r>
      <w:r w:rsidR="005E3C09" w:rsidRPr="00F259E4">
        <w:rPr>
          <w:rFonts w:cstheme="minorHAnsi"/>
        </w:rPr>
        <w:t xml:space="preserve"> will be impacted by:</w:t>
      </w:r>
    </w:p>
    <w:p w14:paraId="19A79E86" w14:textId="226683EB" w:rsidR="005E3C09" w:rsidRPr="00F259E4" w:rsidRDefault="00210056" w:rsidP="00273087">
      <w:pPr>
        <w:pStyle w:val="ListParagraph"/>
        <w:numPr>
          <w:ilvl w:val="1"/>
          <w:numId w:val="31"/>
        </w:numPr>
        <w:spacing w:after="60"/>
        <w:ind w:left="1701" w:hanging="414"/>
        <w:contextualSpacing w:val="0"/>
        <w:jc w:val="both"/>
        <w:rPr>
          <w:rFonts w:cstheme="minorHAnsi"/>
        </w:rPr>
      </w:pPr>
      <w:r w:rsidRPr="00F259E4">
        <w:rPr>
          <w:rFonts w:cstheme="minorHAnsi"/>
        </w:rPr>
        <w:t>Uptake of new technology and how it is used</w:t>
      </w:r>
      <w:r w:rsidR="00E55DAE">
        <w:rPr>
          <w:rFonts w:cstheme="minorHAnsi"/>
        </w:rPr>
        <w:t>.</w:t>
      </w:r>
    </w:p>
    <w:p w14:paraId="1F2A0BE1" w14:textId="51DF9EB2" w:rsidR="00210056" w:rsidRPr="00F259E4" w:rsidRDefault="00210056" w:rsidP="00273087">
      <w:pPr>
        <w:pStyle w:val="ListParagraph"/>
        <w:numPr>
          <w:ilvl w:val="1"/>
          <w:numId w:val="31"/>
        </w:numPr>
        <w:spacing w:after="60"/>
        <w:ind w:left="1701" w:hanging="414"/>
        <w:contextualSpacing w:val="0"/>
        <w:jc w:val="both"/>
        <w:rPr>
          <w:rFonts w:cstheme="minorHAnsi"/>
        </w:rPr>
      </w:pPr>
      <w:r w:rsidRPr="00F259E4">
        <w:rPr>
          <w:rFonts w:cstheme="minorHAnsi"/>
        </w:rPr>
        <w:t>Effectiveness of load shifting</w:t>
      </w:r>
      <w:r w:rsidR="000817F6" w:rsidRPr="00F259E4">
        <w:rPr>
          <w:rFonts w:cstheme="minorHAnsi"/>
        </w:rPr>
        <w:t xml:space="preserve"> away from peaks</w:t>
      </w:r>
      <w:r w:rsidR="00E55DAE">
        <w:rPr>
          <w:rFonts w:cstheme="minorHAnsi"/>
        </w:rPr>
        <w:t>.</w:t>
      </w:r>
    </w:p>
    <w:p w14:paraId="0207CE34" w14:textId="0AD7E1B8" w:rsidR="000817F6" w:rsidRPr="00F259E4" w:rsidRDefault="000817F6" w:rsidP="00273087">
      <w:pPr>
        <w:pStyle w:val="ListParagraph"/>
        <w:numPr>
          <w:ilvl w:val="1"/>
          <w:numId w:val="31"/>
        </w:numPr>
        <w:spacing w:after="60"/>
        <w:ind w:left="1701" w:hanging="414"/>
        <w:contextualSpacing w:val="0"/>
        <w:jc w:val="both"/>
        <w:rPr>
          <w:rFonts w:cstheme="minorHAnsi"/>
        </w:rPr>
      </w:pPr>
      <w:r w:rsidRPr="00F259E4">
        <w:rPr>
          <w:rFonts w:cstheme="minorHAnsi"/>
        </w:rPr>
        <w:t>Uptake of electric vehicles</w:t>
      </w:r>
      <w:r w:rsidR="00E55DAE">
        <w:rPr>
          <w:rFonts w:cstheme="minorHAnsi"/>
        </w:rPr>
        <w:t>.</w:t>
      </w:r>
    </w:p>
    <w:p w14:paraId="5FA0AA87" w14:textId="16FAF529" w:rsidR="00AA757D" w:rsidRPr="00F259E4" w:rsidRDefault="00AA757D" w:rsidP="00273087">
      <w:pPr>
        <w:pStyle w:val="ListParagraph"/>
        <w:numPr>
          <w:ilvl w:val="1"/>
          <w:numId w:val="31"/>
        </w:numPr>
        <w:spacing w:after="60"/>
        <w:ind w:left="1701" w:hanging="414"/>
        <w:contextualSpacing w:val="0"/>
        <w:jc w:val="both"/>
        <w:rPr>
          <w:rFonts w:cstheme="minorHAnsi"/>
        </w:rPr>
      </w:pPr>
      <w:r w:rsidRPr="00F259E4">
        <w:rPr>
          <w:rFonts w:cstheme="minorHAnsi"/>
        </w:rPr>
        <w:t xml:space="preserve">Electrification and decarbonisation </w:t>
      </w:r>
      <w:r w:rsidR="00E55DAE">
        <w:rPr>
          <w:rFonts w:cstheme="minorHAnsi"/>
        </w:rPr>
        <w:t>.</w:t>
      </w:r>
    </w:p>
    <w:p w14:paraId="049FDD8E" w14:textId="1104B76F" w:rsidR="00AA757D" w:rsidRDefault="00AA757D" w:rsidP="00273087">
      <w:pPr>
        <w:pStyle w:val="ListParagraph"/>
        <w:numPr>
          <w:ilvl w:val="1"/>
          <w:numId w:val="31"/>
        </w:numPr>
        <w:spacing w:after="60"/>
        <w:ind w:left="1701" w:hanging="414"/>
        <w:contextualSpacing w:val="0"/>
        <w:jc w:val="both"/>
        <w:rPr>
          <w:rFonts w:cstheme="minorHAnsi"/>
        </w:rPr>
      </w:pPr>
      <w:r w:rsidRPr="00F259E4">
        <w:rPr>
          <w:rFonts w:cstheme="minorHAnsi"/>
        </w:rPr>
        <w:t>Consumer responses to price signals.</w:t>
      </w:r>
    </w:p>
    <w:p w14:paraId="218C2AA0" w14:textId="76C8E7C3" w:rsidR="00634BA3" w:rsidRPr="00012BB4" w:rsidRDefault="00977FF7" w:rsidP="00273087">
      <w:pPr>
        <w:pStyle w:val="ListParagraph"/>
        <w:numPr>
          <w:ilvl w:val="1"/>
          <w:numId w:val="31"/>
        </w:numPr>
        <w:spacing w:after="60"/>
        <w:ind w:left="1701" w:hanging="414"/>
        <w:contextualSpacing w:val="0"/>
        <w:jc w:val="both"/>
        <w:rPr>
          <w:rFonts w:cstheme="minorHAnsi"/>
        </w:rPr>
      </w:pPr>
      <w:r>
        <w:rPr>
          <w:rFonts w:cstheme="minorHAnsi"/>
        </w:rPr>
        <w:t>2020</w:t>
      </w:r>
      <w:r w:rsidR="00D6757E">
        <w:rPr>
          <w:rFonts w:cstheme="minorHAnsi"/>
        </w:rPr>
        <w:t xml:space="preserve"> </w:t>
      </w:r>
      <w:r>
        <w:rPr>
          <w:rFonts w:cstheme="minorHAnsi"/>
        </w:rPr>
        <w:t>regulatory reset for non-exempt EDBs.</w:t>
      </w:r>
    </w:p>
    <w:p w14:paraId="14700F71" w14:textId="77777777" w:rsidR="00012BB4" w:rsidRPr="00634BA3" w:rsidRDefault="00012BB4" w:rsidP="00012BB4">
      <w:pPr>
        <w:pStyle w:val="ListParagraph"/>
        <w:spacing w:after="60"/>
        <w:ind w:left="1701"/>
        <w:contextualSpacing w:val="0"/>
        <w:jc w:val="both"/>
        <w:rPr>
          <w:rFonts w:cstheme="minorHAnsi"/>
        </w:rPr>
      </w:pPr>
    </w:p>
    <w:p w14:paraId="5DCF871C" w14:textId="6B29115E" w:rsidR="002F7329" w:rsidRPr="00F259E4" w:rsidRDefault="002F7329" w:rsidP="00D13C65">
      <w:pPr>
        <w:spacing w:after="120"/>
        <w:jc w:val="both"/>
        <w:rPr>
          <w:rFonts w:cstheme="minorHAnsi"/>
          <w:b/>
        </w:rPr>
      </w:pPr>
      <w:r w:rsidRPr="00F259E4">
        <w:rPr>
          <w:rFonts w:cstheme="minorHAnsi"/>
          <w:b/>
        </w:rPr>
        <w:t>Assessment of size of affordability problem</w:t>
      </w:r>
    </w:p>
    <w:p w14:paraId="32227190" w14:textId="06601DBE" w:rsidR="007E2BC9" w:rsidRPr="00F259E4" w:rsidRDefault="007E2BC9" w:rsidP="00273087">
      <w:pPr>
        <w:pStyle w:val="ListParagraph"/>
        <w:numPr>
          <w:ilvl w:val="0"/>
          <w:numId w:val="31"/>
        </w:numPr>
        <w:spacing w:after="240"/>
        <w:ind w:left="850" w:hanging="425"/>
        <w:contextualSpacing w:val="0"/>
        <w:jc w:val="both"/>
        <w:rPr>
          <w:rFonts w:cstheme="minorHAnsi"/>
        </w:rPr>
      </w:pPr>
      <w:r w:rsidRPr="00F259E4">
        <w:rPr>
          <w:rFonts w:cstheme="minorHAnsi"/>
        </w:rPr>
        <w:t>ENA accepts this is a significant issue.</w:t>
      </w:r>
    </w:p>
    <w:p w14:paraId="16E3530E" w14:textId="6676FEFE" w:rsidR="006F7EF7" w:rsidRPr="00F259E4" w:rsidRDefault="006F7EF7" w:rsidP="00D13C65">
      <w:pPr>
        <w:spacing w:after="120"/>
        <w:jc w:val="both"/>
        <w:rPr>
          <w:rFonts w:cstheme="minorHAnsi"/>
          <w:b/>
        </w:rPr>
      </w:pPr>
      <w:r w:rsidRPr="00F259E4">
        <w:rPr>
          <w:rFonts w:cstheme="minorHAnsi"/>
          <w:b/>
        </w:rPr>
        <w:t>Assessment of causes of affordability problem</w:t>
      </w:r>
    </w:p>
    <w:p w14:paraId="58E7C6DC" w14:textId="6ABAFDB0" w:rsidR="003D28F4" w:rsidRPr="00F259E4" w:rsidRDefault="0070277E" w:rsidP="00273087">
      <w:pPr>
        <w:pStyle w:val="ListParagraph"/>
        <w:numPr>
          <w:ilvl w:val="0"/>
          <w:numId w:val="31"/>
        </w:numPr>
        <w:ind w:left="851" w:hanging="425"/>
        <w:contextualSpacing w:val="0"/>
        <w:jc w:val="both"/>
        <w:rPr>
          <w:rFonts w:cstheme="minorHAnsi"/>
        </w:rPr>
      </w:pPr>
      <w:r w:rsidRPr="00F259E4">
        <w:rPr>
          <w:rFonts w:cstheme="minorHAnsi"/>
        </w:rPr>
        <w:t>ENA agrees with the assessment of the causes of the affordability problem, and the existence of the two-tier</w:t>
      </w:r>
      <w:r w:rsidR="00D3309F" w:rsidRPr="00F259E4">
        <w:rPr>
          <w:rFonts w:cstheme="minorHAnsi"/>
        </w:rPr>
        <w:t xml:space="preserve"> retail</w:t>
      </w:r>
      <w:r w:rsidRPr="00F259E4">
        <w:rPr>
          <w:rFonts w:cstheme="minorHAnsi"/>
        </w:rPr>
        <w:t xml:space="preserve"> market</w:t>
      </w:r>
      <w:r w:rsidR="00E63FE7" w:rsidRPr="00F259E4">
        <w:rPr>
          <w:rFonts w:cstheme="minorHAnsi"/>
        </w:rPr>
        <w:t>.</w:t>
      </w:r>
    </w:p>
    <w:p w14:paraId="2083BBF9" w14:textId="55AC31DA" w:rsidR="00E63FE7" w:rsidRPr="00F259E4" w:rsidRDefault="00102E68" w:rsidP="00273087">
      <w:pPr>
        <w:pStyle w:val="ListParagraph"/>
        <w:numPr>
          <w:ilvl w:val="0"/>
          <w:numId w:val="31"/>
        </w:numPr>
        <w:spacing w:after="240"/>
        <w:ind w:left="850" w:hanging="425"/>
        <w:contextualSpacing w:val="0"/>
        <w:jc w:val="both"/>
        <w:rPr>
          <w:rFonts w:cstheme="minorHAnsi"/>
        </w:rPr>
      </w:pPr>
      <w:r w:rsidRPr="00F259E4">
        <w:rPr>
          <w:rFonts w:cstheme="minorHAnsi"/>
        </w:rPr>
        <w:t>ENA believes</w:t>
      </w:r>
      <w:r w:rsidR="00EB70E4" w:rsidRPr="00F259E4">
        <w:rPr>
          <w:rFonts w:cstheme="minorHAnsi"/>
        </w:rPr>
        <w:t xml:space="preserve"> lack of knowledge or ability to engage with the competitive market penalises</w:t>
      </w:r>
      <w:r w:rsidR="004A5A6A" w:rsidRPr="00F259E4">
        <w:rPr>
          <w:rFonts w:cstheme="minorHAnsi"/>
        </w:rPr>
        <w:t xml:space="preserve"> passive consumers who don’t seek better deals.</w:t>
      </w:r>
    </w:p>
    <w:p w14:paraId="2CAE6E75" w14:textId="77AF5EBC" w:rsidR="00CD18CA" w:rsidRPr="00F259E4" w:rsidRDefault="00CD18CA" w:rsidP="00D13C65">
      <w:pPr>
        <w:spacing w:after="120"/>
        <w:jc w:val="both"/>
        <w:rPr>
          <w:rFonts w:cstheme="minorHAnsi"/>
          <w:b/>
        </w:rPr>
      </w:pPr>
      <w:r w:rsidRPr="00F259E4">
        <w:rPr>
          <w:rFonts w:cstheme="minorHAnsi"/>
          <w:b/>
        </w:rPr>
        <w:t>Assessment of outlook for affordability problem</w:t>
      </w:r>
    </w:p>
    <w:p w14:paraId="1DD247DD" w14:textId="1037B1C3" w:rsidR="00CD18CA" w:rsidRPr="00F259E4" w:rsidRDefault="00445023" w:rsidP="00273087">
      <w:pPr>
        <w:pStyle w:val="ListParagraph"/>
        <w:numPr>
          <w:ilvl w:val="0"/>
          <w:numId w:val="32"/>
        </w:numPr>
        <w:ind w:left="851" w:hanging="425"/>
        <w:contextualSpacing w:val="0"/>
        <w:jc w:val="both"/>
        <w:rPr>
          <w:rFonts w:cstheme="minorHAnsi"/>
        </w:rPr>
      </w:pPr>
      <w:r w:rsidRPr="00F259E4">
        <w:rPr>
          <w:rFonts w:cstheme="minorHAnsi"/>
        </w:rPr>
        <w:t xml:space="preserve">ENA agrees with </w:t>
      </w:r>
      <w:r w:rsidR="00F26641">
        <w:rPr>
          <w:rFonts w:cstheme="minorHAnsi"/>
        </w:rPr>
        <w:t>P</w:t>
      </w:r>
      <w:r w:rsidRPr="00F259E4">
        <w:rPr>
          <w:rFonts w:cstheme="minorHAnsi"/>
        </w:rPr>
        <w:t>anel’s assessment.</w:t>
      </w:r>
    </w:p>
    <w:p w14:paraId="38A22A03" w14:textId="77777777" w:rsidR="00AC7A21" w:rsidRPr="00F259E4" w:rsidRDefault="00AC27FA" w:rsidP="00273087">
      <w:pPr>
        <w:pStyle w:val="ListParagraph"/>
        <w:numPr>
          <w:ilvl w:val="0"/>
          <w:numId w:val="32"/>
        </w:numPr>
        <w:ind w:left="851" w:hanging="425"/>
        <w:contextualSpacing w:val="0"/>
        <w:jc w:val="both"/>
        <w:rPr>
          <w:rFonts w:cstheme="minorHAnsi"/>
        </w:rPr>
      </w:pPr>
      <w:r w:rsidRPr="00F259E4">
        <w:rPr>
          <w:rFonts w:cstheme="minorHAnsi"/>
        </w:rPr>
        <w:t xml:space="preserve">Technology uptake will be uneven and could </w:t>
      </w:r>
      <w:r w:rsidR="00EB39C3" w:rsidRPr="00F259E4">
        <w:rPr>
          <w:rFonts w:cstheme="minorHAnsi"/>
        </w:rPr>
        <w:t>exacerbate differences between consumers</w:t>
      </w:r>
      <w:r w:rsidR="00AC7A21" w:rsidRPr="00F259E4">
        <w:rPr>
          <w:rFonts w:cstheme="minorHAnsi"/>
        </w:rPr>
        <w:t>.</w:t>
      </w:r>
    </w:p>
    <w:p w14:paraId="2C64FEBF" w14:textId="0516C108" w:rsidR="00445023" w:rsidRPr="00F259E4" w:rsidRDefault="00AC7A21" w:rsidP="00273087">
      <w:pPr>
        <w:pStyle w:val="ListParagraph"/>
        <w:numPr>
          <w:ilvl w:val="0"/>
          <w:numId w:val="32"/>
        </w:numPr>
        <w:spacing w:after="360"/>
        <w:ind w:left="850" w:hanging="425"/>
        <w:contextualSpacing w:val="0"/>
        <w:jc w:val="both"/>
        <w:rPr>
          <w:rFonts w:cstheme="minorHAnsi"/>
        </w:rPr>
      </w:pPr>
      <w:r w:rsidRPr="00F259E4">
        <w:rPr>
          <w:rFonts w:cstheme="minorHAnsi"/>
        </w:rPr>
        <w:t xml:space="preserve">ENA supports better targeting of </w:t>
      </w:r>
      <w:r w:rsidR="00D345A3" w:rsidRPr="00F259E4">
        <w:rPr>
          <w:rFonts w:cstheme="minorHAnsi"/>
        </w:rPr>
        <w:t xml:space="preserve">the </w:t>
      </w:r>
      <w:r w:rsidRPr="00F259E4">
        <w:rPr>
          <w:rFonts w:cstheme="minorHAnsi"/>
        </w:rPr>
        <w:t>winter energy payment</w:t>
      </w:r>
      <w:r w:rsidR="00D87519" w:rsidRPr="00F259E4">
        <w:rPr>
          <w:rFonts w:cstheme="minorHAnsi"/>
        </w:rPr>
        <w:t xml:space="preserve"> to help more effectively address affordability problem</w:t>
      </w:r>
      <w:r w:rsidR="004C00AD" w:rsidRPr="00F259E4">
        <w:rPr>
          <w:rFonts w:cstheme="minorHAnsi"/>
        </w:rPr>
        <w:t xml:space="preserve"> for those in real energy hardship.</w:t>
      </w:r>
      <w:r w:rsidR="00EB39C3" w:rsidRPr="00F259E4">
        <w:rPr>
          <w:rFonts w:cstheme="minorHAnsi"/>
        </w:rPr>
        <w:t xml:space="preserve"> </w:t>
      </w:r>
    </w:p>
    <w:p w14:paraId="10709C31" w14:textId="046F661C" w:rsidR="00E31ED2" w:rsidRPr="00F259E4" w:rsidRDefault="00E31ED2" w:rsidP="008E631A">
      <w:pPr>
        <w:pStyle w:val="Heading2"/>
      </w:pPr>
      <w:r w:rsidRPr="00F259E4">
        <w:t>Solutions to issu</w:t>
      </w:r>
      <w:r w:rsidR="00EC1683" w:rsidRPr="00F259E4">
        <w:t>es and concerns raised in Part t</w:t>
      </w:r>
      <w:r w:rsidRPr="00F259E4">
        <w:t>hree</w:t>
      </w:r>
    </w:p>
    <w:p w14:paraId="0DD5677E" w14:textId="384803D8" w:rsidR="007D53C3" w:rsidRPr="00F259E4" w:rsidRDefault="007D53C3" w:rsidP="00D13C65">
      <w:pPr>
        <w:pStyle w:val="ListParagraph"/>
        <w:numPr>
          <w:ilvl w:val="0"/>
          <w:numId w:val="1"/>
        </w:numPr>
        <w:spacing w:after="240"/>
        <w:ind w:left="425" w:hanging="425"/>
        <w:contextualSpacing w:val="0"/>
        <w:rPr>
          <w:rStyle w:val="Strong"/>
          <w:rFonts w:cstheme="minorHAnsi"/>
          <w:bCs w:val="0"/>
          <w:i w:val="0"/>
          <w:sz w:val="24"/>
          <w:szCs w:val="22"/>
        </w:rPr>
      </w:pPr>
      <w:r w:rsidRPr="00D25352">
        <w:rPr>
          <w:rStyle w:val="Strong"/>
          <w:rFonts w:cstheme="minorHAnsi"/>
          <w:i w:val="0"/>
          <w:color w:val="000000" w:themeColor="text1"/>
          <w:sz w:val="22"/>
          <w:szCs w:val="22"/>
        </w:rPr>
        <w:t>Please</w:t>
      </w:r>
      <w:r w:rsidRPr="00F259E4">
        <w:rPr>
          <w:rStyle w:val="Strong"/>
          <w:rFonts w:cstheme="minorHAnsi"/>
          <w:color w:val="000000" w:themeColor="text1"/>
          <w:sz w:val="22"/>
          <w:szCs w:val="22"/>
        </w:rPr>
        <w:t xml:space="preserve"> </w:t>
      </w:r>
      <w:r w:rsidRPr="00F259E4">
        <w:rPr>
          <w:rStyle w:val="Strong"/>
          <w:rFonts w:cstheme="minorHAnsi"/>
          <w:i w:val="0"/>
          <w:color w:val="000000" w:themeColor="text1"/>
          <w:sz w:val="22"/>
          <w:szCs w:val="22"/>
        </w:rPr>
        <w:t>briefly describe any potential solutions to the issues and concerns raised in Part three.</w:t>
      </w:r>
    </w:p>
    <w:p w14:paraId="67C93B16" w14:textId="0DF55AF1" w:rsidR="007D53C3" w:rsidRPr="00F259E4" w:rsidRDefault="000F2C6B" w:rsidP="00D13C65">
      <w:pPr>
        <w:rPr>
          <w:rFonts w:cstheme="minorHAnsi"/>
          <w:b/>
        </w:rPr>
      </w:pPr>
      <w:r w:rsidRPr="00F259E4">
        <w:rPr>
          <w:rFonts w:cstheme="minorHAnsi"/>
          <w:b/>
        </w:rPr>
        <w:t>Energy ambassador</w:t>
      </w:r>
    </w:p>
    <w:p w14:paraId="34A34BA1" w14:textId="4FB364C7" w:rsidR="00FD1DE4" w:rsidRPr="00F259E4" w:rsidRDefault="00DD41A9" w:rsidP="00273087">
      <w:pPr>
        <w:pStyle w:val="ListParagraph"/>
        <w:numPr>
          <w:ilvl w:val="0"/>
          <w:numId w:val="33"/>
        </w:numPr>
        <w:ind w:left="851" w:hanging="425"/>
        <w:contextualSpacing w:val="0"/>
        <w:rPr>
          <w:rFonts w:cstheme="minorHAnsi"/>
        </w:rPr>
      </w:pPr>
      <w:r w:rsidRPr="00F259E4">
        <w:rPr>
          <w:rFonts w:cstheme="minorHAnsi"/>
        </w:rPr>
        <w:t>ENA agrees with</w:t>
      </w:r>
      <w:r w:rsidR="007F4AEA" w:rsidRPr="00F259E4">
        <w:rPr>
          <w:rFonts w:cstheme="minorHAnsi"/>
        </w:rPr>
        <w:t xml:space="preserve"> the suggestion that an </w:t>
      </w:r>
      <w:r w:rsidR="00697495" w:rsidRPr="00F259E4">
        <w:rPr>
          <w:rFonts w:cstheme="minorHAnsi"/>
        </w:rPr>
        <w:t xml:space="preserve">independent </w:t>
      </w:r>
      <w:r w:rsidR="007F4AEA" w:rsidRPr="00F259E4">
        <w:rPr>
          <w:rFonts w:cstheme="minorHAnsi"/>
        </w:rPr>
        <w:t xml:space="preserve">energy ambassador </w:t>
      </w:r>
      <w:r w:rsidR="002B4686">
        <w:rPr>
          <w:rFonts w:cstheme="minorHAnsi"/>
        </w:rPr>
        <w:t>function</w:t>
      </w:r>
      <w:r w:rsidR="002B4686" w:rsidRPr="00F259E4">
        <w:rPr>
          <w:rFonts w:cstheme="minorHAnsi"/>
        </w:rPr>
        <w:t xml:space="preserve"> </w:t>
      </w:r>
      <w:r w:rsidR="002B4686">
        <w:rPr>
          <w:rFonts w:cstheme="minorHAnsi"/>
        </w:rPr>
        <w:t xml:space="preserve">(or similar) </w:t>
      </w:r>
      <w:r w:rsidR="007F4AEA" w:rsidRPr="00F259E4">
        <w:rPr>
          <w:rFonts w:cstheme="minorHAnsi"/>
        </w:rPr>
        <w:t xml:space="preserve">should be </w:t>
      </w:r>
      <w:r w:rsidR="002B4686">
        <w:rPr>
          <w:rFonts w:cstheme="minorHAnsi"/>
        </w:rPr>
        <w:t xml:space="preserve">established </w:t>
      </w:r>
      <w:r w:rsidR="00794D51" w:rsidRPr="00F259E4">
        <w:rPr>
          <w:rFonts w:cstheme="minorHAnsi"/>
        </w:rPr>
        <w:t>to provide</w:t>
      </w:r>
      <w:r w:rsidR="004F3FA8" w:rsidRPr="00F259E4">
        <w:rPr>
          <w:rFonts w:cstheme="minorHAnsi"/>
        </w:rPr>
        <w:t xml:space="preserve"> an effective voice</w:t>
      </w:r>
      <w:r w:rsidR="00794D51" w:rsidRPr="00F259E4">
        <w:rPr>
          <w:rFonts w:cstheme="minorHAnsi"/>
        </w:rPr>
        <w:t xml:space="preserve"> on behalf </w:t>
      </w:r>
      <w:r w:rsidR="004F3FA8" w:rsidRPr="00F259E4">
        <w:rPr>
          <w:rFonts w:cstheme="minorHAnsi"/>
        </w:rPr>
        <w:t>of</w:t>
      </w:r>
      <w:r w:rsidR="00033D12" w:rsidRPr="00F259E4">
        <w:rPr>
          <w:rFonts w:cstheme="minorHAnsi"/>
        </w:rPr>
        <w:t xml:space="preserve"> </w:t>
      </w:r>
      <w:r w:rsidR="00794D51" w:rsidRPr="00F259E4">
        <w:rPr>
          <w:rFonts w:cstheme="minorHAnsi"/>
        </w:rPr>
        <w:t>the consumer</w:t>
      </w:r>
      <w:r w:rsidR="00033D12" w:rsidRPr="00F259E4">
        <w:rPr>
          <w:rFonts w:cstheme="minorHAnsi"/>
        </w:rPr>
        <w:t xml:space="preserve">. </w:t>
      </w:r>
    </w:p>
    <w:p w14:paraId="18AE76BE" w14:textId="0D22BE81" w:rsidR="009C0485" w:rsidRPr="00F259E4" w:rsidRDefault="00FD1DE4" w:rsidP="00273087">
      <w:pPr>
        <w:pStyle w:val="ListParagraph"/>
        <w:numPr>
          <w:ilvl w:val="0"/>
          <w:numId w:val="33"/>
        </w:numPr>
        <w:spacing w:after="240"/>
        <w:ind w:left="850" w:hanging="425"/>
        <w:contextualSpacing w:val="0"/>
        <w:rPr>
          <w:rFonts w:cstheme="minorHAnsi"/>
        </w:rPr>
      </w:pPr>
      <w:r w:rsidRPr="00F259E4">
        <w:rPr>
          <w:rFonts w:cstheme="minorHAnsi"/>
        </w:rPr>
        <w:lastRenderedPageBreak/>
        <w:t>From our own research and feedback, w</w:t>
      </w:r>
      <w:r w:rsidR="00033D12" w:rsidRPr="00F259E4">
        <w:rPr>
          <w:rFonts w:cstheme="minorHAnsi"/>
        </w:rPr>
        <w:t>e are not convinced that the</w:t>
      </w:r>
      <w:r w:rsidR="00B35C9B" w:rsidRPr="00F259E4">
        <w:rPr>
          <w:rFonts w:cstheme="minorHAnsi"/>
        </w:rPr>
        <w:t xml:space="preserve"> </w:t>
      </w:r>
      <w:r w:rsidR="00F45A39" w:rsidRPr="00F259E4">
        <w:rPr>
          <w:rFonts w:cstheme="minorHAnsi"/>
        </w:rPr>
        <w:t xml:space="preserve">full </w:t>
      </w:r>
      <w:r w:rsidR="00B35C9B" w:rsidRPr="00F259E4">
        <w:rPr>
          <w:rFonts w:cstheme="minorHAnsi"/>
        </w:rPr>
        <w:t>Australian model</w:t>
      </w:r>
      <w:r w:rsidR="009B37E5">
        <w:rPr>
          <w:rFonts w:cstheme="minorHAnsi"/>
        </w:rPr>
        <w:t xml:space="preserve"> (i.e.</w:t>
      </w:r>
      <w:r w:rsidR="00B35C9B" w:rsidRPr="00F259E4">
        <w:rPr>
          <w:rFonts w:cstheme="minorHAnsi"/>
        </w:rPr>
        <w:t xml:space="preserve"> Energy Consumers Australia</w:t>
      </w:r>
      <w:r w:rsidR="009B37E5">
        <w:rPr>
          <w:rFonts w:cstheme="minorHAnsi"/>
        </w:rPr>
        <w:t>)</w:t>
      </w:r>
      <w:r w:rsidR="00CF05B7" w:rsidRPr="00F259E4">
        <w:rPr>
          <w:rFonts w:cstheme="minorHAnsi"/>
        </w:rPr>
        <w:t xml:space="preserve">, </w:t>
      </w:r>
      <w:r w:rsidR="00F45A39" w:rsidRPr="00F259E4">
        <w:rPr>
          <w:rFonts w:cstheme="minorHAnsi"/>
        </w:rPr>
        <w:t xml:space="preserve">is </w:t>
      </w:r>
      <w:r w:rsidR="009B2382" w:rsidRPr="00F259E4">
        <w:rPr>
          <w:rFonts w:cstheme="minorHAnsi"/>
        </w:rPr>
        <w:t xml:space="preserve">either </w:t>
      </w:r>
      <w:r w:rsidR="00A13D14" w:rsidRPr="00F259E4">
        <w:rPr>
          <w:rFonts w:cstheme="minorHAnsi"/>
        </w:rPr>
        <w:t xml:space="preserve">necessary or </w:t>
      </w:r>
      <w:r w:rsidR="002B4686">
        <w:rPr>
          <w:rFonts w:cstheme="minorHAnsi"/>
        </w:rPr>
        <w:t>appropriate in the New Zealand context.</w:t>
      </w:r>
    </w:p>
    <w:p w14:paraId="2D317E0D" w14:textId="122FBBD6" w:rsidR="000F2C6B" w:rsidRPr="00F259E4" w:rsidRDefault="000F2C6B" w:rsidP="00D13C65">
      <w:pPr>
        <w:rPr>
          <w:rFonts w:cstheme="minorHAnsi"/>
          <w:b/>
        </w:rPr>
      </w:pPr>
      <w:r w:rsidRPr="00F259E4">
        <w:rPr>
          <w:rFonts w:cstheme="minorHAnsi"/>
          <w:b/>
        </w:rPr>
        <w:t xml:space="preserve">More accessible </w:t>
      </w:r>
      <w:r w:rsidR="00BE2884" w:rsidRPr="00F259E4">
        <w:rPr>
          <w:rFonts w:cstheme="minorHAnsi"/>
          <w:b/>
        </w:rPr>
        <w:t xml:space="preserve">consumer </w:t>
      </w:r>
      <w:r w:rsidRPr="00F259E4">
        <w:rPr>
          <w:rFonts w:cstheme="minorHAnsi"/>
          <w:b/>
        </w:rPr>
        <w:t>information</w:t>
      </w:r>
      <w:r w:rsidR="002956ED" w:rsidRPr="00F259E4">
        <w:rPr>
          <w:rFonts w:cstheme="minorHAnsi"/>
          <w:b/>
        </w:rPr>
        <w:t xml:space="preserve"> and advice</w:t>
      </w:r>
    </w:p>
    <w:p w14:paraId="1980A08C" w14:textId="07AE89FA" w:rsidR="00A95E2F" w:rsidRPr="00F259E4" w:rsidRDefault="00A95E2F" w:rsidP="00273087">
      <w:pPr>
        <w:pStyle w:val="ListParagraph"/>
        <w:widowControl w:val="0"/>
        <w:numPr>
          <w:ilvl w:val="0"/>
          <w:numId w:val="26"/>
        </w:numPr>
        <w:spacing w:after="60"/>
        <w:contextualSpacing w:val="0"/>
        <w:jc w:val="both"/>
        <w:rPr>
          <w:rFonts w:cstheme="minorHAnsi"/>
          <w:color w:val="000000" w:themeColor="text1"/>
          <w:lang w:eastAsia="en-NZ"/>
        </w:rPr>
      </w:pPr>
      <w:r w:rsidRPr="00F259E4">
        <w:rPr>
          <w:rFonts w:cstheme="minorHAnsi"/>
          <w:color w:val="000000" w:themeColor="text1"/>
          <w:lang w:eastAsia="en-NZ"/>
        </w:rPr>
        <w:t xml:space="preserve">ENA supports initiatives to enhance the availability </w:t>
      </w:r>
      <w:r w:rsidR="002756FC" w:rsidRPr="00F259E4">
        <w:rPr>
          <w:rFonts w:cstheme="minorHAnsi"/>
          <w:color w:val="000000" w:themeColor="text1"/>
          <w:lang w:eastAsia="en-NZ"/>
        </w:rPr>
        <w:t xml:space="preserve">to consumers </w:t>
      </w:r>
      <w:r w:rsidRPr="00F259E4">
        <w:rPr>
          <w:rFonts w:cstheme="minorHAnsi"/>
          <w:color w:val="000000" w:themeColor="text1"/>
          <w:lang w:eastAsia="en-NZ"/>
        </w:rPr>
        <w:t xml:space="preserve">of high-quality, independent information </w:t>
      </w:r>
      <w:r w:rsidR="008C2414" w:rsidRPr="00F259E4">
        <w:rPr>
          <w:rFonts w:cstheme="minorHAnsi"/>
          <w:color w:val="000000" w:themeColor="text1"/>
          <w:lang w:eastAsia="en-NZ"/>
        </w:rPr>
        <w:t xml:space="preserve">and advice </w:t>
      </w:r>
      <w:r w:rsidRPr="00F259E4">
        <w:rPr>
          <w:rFonts w:cstheme="minorHAnsi"/>
          <w:color w:val="000000" w:themeColor="text1"/>
          <w:lang w:eastAsia="en-NZ"/>
        </w:rPr>
        <w:t>on tariffs and energy-saving options.</w:t>
      </w:r>
      <w:r w:rsidR="00DE4BAC" w:rsidRPr="00F259E4">
        <w:rPr>
          <w:rFonts w:cstheme="minorHAnsi"/>
          <w:color w:val="000000" w:themeColor="text1"/>
          <w:lang w:eastAsia="en-NZ"/>
        </w:rPr>
        <w:t xml:space="preserve"> This could be through both web-based and phone-based advice.</w:t>
      </w:r>
    </w:p>
    <w:p w14:paraId="5EE53665" w14:textId="77777777" w:rsidR="00CA12FD" w:rsidRPr="00F259E4" w:rsidRDefault="00CA12FD" w:rsidP="00794339">
      <w:pPr>
        <w:pStyle w:val="ListParagraph"/>
        <w:rPr>
          <w:rFonts w:cstheme="minorHAnsi"/>
          <w:highlight w:val="yellow"/>
        </w:rPr>
      </w:pPr>
    </w:p>
    <w:p w14:paraId="67BBD117" w14:textId="4E2EB39A" w:rsidR="000F2C6B" w:rsidRPr="00F259E4" w:rsidRDefault="009048FF" w:rsidP="00D13C65">
      <w:pPr>
        <w:rPr>
          <w:rFonts w:cstheme="minorHAnsi"/>
          <w:b/>
        </w:rPr>
      </w:pPr>
      <w:r w:rsidRPr="00F259E4">
        <w:rPr>
          <w:rFonts w:cstheme="minorHAnsi"/>
          <w:b/>
        </w:rPr>
        <w:t>Better targeting of energy affordability through welfare system</w:t>
      </w:r>
    </w:p>
    <w:p w14:paraId="3731A971" w14:textId="226D72FA" w:rsidR="00045055" w:rsidRPr="00F259E4" w:rsidRDefault="00045055" w:rsidP="00273087">
      <w:pPr>
        <w:pStyle w:val="ListParagraph"/>
        <w:widowControl w:val="0"/>
        <w:numPr>
          <w:ilvl w:val="0"/>
          <w:numId w:val="26"/>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ENA </w:t>
      </w:r>
      <w:r w:rsidR="00E235E2" w:rsidRPr="00F259E4">
        <w:rPr>
          <w:rFonts w:cstheme="minorHAnsi"/>
          <w:color w:val="000000" w:themeColor="text1"/>
          <w:lang w:eastAsia="en-NZ"/>
        </w:rPr>
        <w:t>believes</w:t>
      </w:r>
      <w:r w:rsidRPr="00F259E4">
        <w:rPr>
          <w:rFonts w:cstheme="minorHAnsi"/>
          <w:color w:val="000000" w:themeColor="text1"/>
          <w:lang w:eastAsia="en-NZ"/>
        </w:rPr>
        <w:t xml:space="preserve"> that energy hardship or affordability is a broader social problem and cannot be related solely to access to energy. That said, we appreciate that electricity is not a luxury, but an ‘essential’ service for keeping people safe and warm, and businesses operating. </w:t>
      </w:r>
    </w:p>
    <w:p w14:paraId="4EF845D5" w14:textId="1EA4193D" w:rsidR="00E866B7" w:rsidRPr="00F259E4" w:rsidRDefault="00103086" w:rsidP="00273087">
      <w:pPr>
        <w:pStyle w:val="ListParagraph"/>
        <w:widowControl w:val="0"/>
        <w:numPr>
          <w:ilvl w:val="0"/>
          <w:numId w:val="26"/>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It is </w:t>
      </w:r>
      <w:r w:rsidR="006B7F34" w:rsidRPr="00F259E4">
        <w:rPr>
          <w:rFonts w:cstheme="minorHAnsi"/>
          <w:color w:val="000000" w:themeColor="text1"/>
          <w:lang w:eastAsia="en-NZ"/>
        </w:rPr>
        <w:t>neither</w:t>
      </w:r>
      <w:r w:rsidRPr="00F259E4">
        <w:rPr>
          <w:rFonts w:cstheme="minorHAnsi"/>
          <w:color w:val="000000" w:themeColor="text1"/>
          <w:lang w:eastAsia="en-NZ"/>
        </w:rPr>
        <w:t xml:space="preserve"> desirable </w:t>
      </w:r>
      <w:r w:rsidR="006B7F34" w:rsidRPr="00F259E4">
        <w:rPr>
          <w:rFonts w:cstheme="minorHAnsi"/>
          <w:color w:val="000000" w:themeColor="text1"/>
          <w:lang w:eastAsia="en-NZ"/>
        </w:rPr>
        <w:t xml:space="preserve">nor practical </w:t>
      </w:r>
      <w:r w:rsidRPr="00F259E4">
        <w:rPr>
          <w:rFonts w:cstheme="minorHAnsi"/>
          <w:color w:val="000000" w:themeColor="text1"/>
          <w:lang w:eastAsia="en-NZ"/>
        </w:rPr>
        <w:t xml:space="preserve">for electricity companies to be making judgments on who </w:t>
      </w:r>
      <w:r w:rsidR="00BD2ADC">
        <w:rPr>
          <w:rFonts w:cstheme="minorHAnsi"/>
          <w:color w:val="000000" w:themeColor="text1"/>
          <w:lang w:eastAsia="en-NZ"/>
        </w:rPr>
        <w:t xml:space="preserve">can </w:t>
      </w:r>
      <w:r w:rsidRPr="00F259E4">
        <w:rPr>
          <w:rFonts w:cstheme="minorHAnsi"/>
          <w:color w:val="000000" w:themeColor="text1"/>
          <w:lang w:eastAsia="en-NZ"/>
        </w:rPr>
        <w:t>and who cannot afford to pay their electricity bills. These judgments are complex and based on many factors, including confidential information such as incomes, work and tax status, age, health, and ability to access other subsidies.</w:t>
      </w:r>
      <w:r w:rsidR="00A15EDF" w:rsidRPr="00F259E4">
        <w:rPr>
          <w:rFonts w:cstheme="minorHAnsi"/>
          <w:color w:val="000000" w:themeColor="text1"/>
          <w:lang w:eastAsia="en-NZ"/>
        </w:rPr>
        <w:t xml:space="preserve"> </w:t>
      </w:r>
      <w:r w:rsidR="00E866B7" w:rsidRPr="00F259E4">
        <w:rPr>
          <w:rFonts w:cstheme="minorHAnsi"/>
          <w:color w:val="000000" w:themeColor="text1"/>
          <w:lang w:eastAsia="en-NZ"/>
        </w:rPr>
        <w:t xml:space="preserve">ENA </w:t>
      </w:r>
      <w:r w:rsidR="00A15EDF" w:rsidRPr="00F259E4">
        <w:rPr>
          <w:rFonts w:cstheme="minorHAnsi"/>
          <w:color w:val="000000" w:themeColor="text1"/>
          <w:lang w:eastAsia="en-NZ"/>
        </w:rPr>
        <w:t>believes</w:t>
      </w:r>
      <w:r w:rsidR="00E866B7" w:rsidRPr="00F259E4">
        <w:rPr>
          <w:rFonts w:cstheme="minorHAnsi"/>
          <w:color w:val="000000" w:themeColor="text1"/>
          <w:lang w:eastAsia="en-NZ"/>
        </w:rPr>
        <w:t xml:space="preserve"> that energy </w:t>
      </w:r>
      <w:r w:rsidR="0016587D" w:rsidRPr="00F259E4">
        <w:rPr>
          <w:rFonts w:cstheme="minorHAnsi"/>
          <w:color w:val="000000" w:themeColor="text1"/>
          <w:lang w:eastAsia="en-NZ"/>
        </w:rPr>
        <w:t xml:space="preserve">affordability </w:t>
      </w:r>
      <w:r w:rsidR="00E866B7" w:rsidRPr="00F259E4">
        <w:rPr>
          <w:rFonts w:cstheme="minorHAnsi"/>
          <w:color w:val="000000" w:themeColor="text1"/>
          <w:lang w:eastAsia="en-NZ"/>
        </w:rPr>
        <w:t xml:space="preserve">should be part of this whole-of-government approach. </w:t>
      </w:r>
    </w:p>
    <w:p w14:paraId="59F689E4" w14:textId="1A227E99" w:rsidR="008F25FF" w:rsidRPr="00F259E4" w:rsidRDefault="00FE3F0A" w:rsidP="00273087">
      <w:pPr>
        <w:pStyle w:val="ListParagraph"/>
        <w:widowControl w:val="0"/>
        <w:numPr>
          <w:ilvl w:val="0"/>
          <w:numId w:val="26"/>
        </w:numPr>
        <w:ind w:left="851" w:hanging="425"/>
        <w:contextualSpacing w:val="0"/>
        <w:rPr>
          <w:rFonts w:cstheme="minorHAnsi"/>
          <w:color w:val="000000" w:themeColor="text1"/>
          <w:lang w:eastAsia="en-NZ"/>
        </w:rPr>
      </w:pPr>
      <w:r w:rsidRPr="00F259E4">
        <w:rPr>
          <w:rFonts w:cstheme="minorHAnsi"/>
          <w:color w:val="000000" w:themeColor="text1"/>
          <w:lang w:eastAsia="en-NZ"/>
        </w:rPr>
        <w:t>We believe</w:t>
      </w:r>
      <w:r w:rsidR="00CF69E3" w:rsidRPr="00F259E4">
        <w:rPr>
          <w:rFonts w:cstheme="minorHAnsi"/>
          <w:color w:val="000000" w:themeColor="text1"/>
          <w:lang w:eastAsia="en-NZ"/>
        </w:rPr>
        <w:t xml:space="preserve"> that the Government’s winter energy payment </w:t>
      </w:r>
      <w:r w:rsidR="00FE67EB" w:rsidRPr="00F259E4">
        <w:rPr>
          <w:rFonts w:cstheme="minorHAnsi"/>
          <w:color w:val="000000" w:themeColor="text1"/>
          <w:lang w:eastAsia="en-NZ"/>
        </w:rPr>
        <w:t xml:space="preserve">should </w:t>
      </w:r>
      <w:r w:rsidR="00CF69E3" w:rsidRPr="00F259E4">
        <w:rPr>
          <w:rFonts w:cstheme="minorHAnsi"/>
          <w:color w:val="000000" w:themeColor="text1"/>
          <w:lang w:eastAsia="en-NZ"/>
        </w:rPr>
        <w:t>be restruc</w:t>
      </w:r>
      <w:r w:rsidR="00FF59F0" w:rsidRPr="00F259E4">
        <w:rPr>
          <w:rFonts w:cstheme="minorHAnsi"/>
          <w:color w:val="000000" w:themeColor="text1"/>
          <w:lang w:eastAsia="en-NZ"/>
        </w:rPr>
        <w:t>tured to provide better targeted assistance to those in genuine energy-hardship</w:t>
      </w:r>
      <w:r w:rsidR="004A5BA3" w:rsidRPr="00F259E4">
        <w:rPr>
          <w:rFonts w:cstheme="minorHAnsi"/>
          <w:color w:val="000000" w:themeColor="text1"/>
          <w:lang w:eastAsia="en-NZ"/>
        </w:rPr>
        <w:t>, including low</w:t>
      </w:r>
      <w:r w:rsidR="00FE67EB" w:rsidRPr="00F259E4">
        <w:rPr>
          <w:rFonts w:cstheme="minorHAnsi"/>
          <w:color w:val="000000" w:themeColor="text1"/>
          <w:lang w:eastAsia="en-NZ"/>
        </w:rPr>
        <w:t>-</w:t>
      </w:r>
      <w:r w:rsidR="004A5BA3" w:rsidRPr="00F259E4">
        <w:rPr>
          <w:rFonts w:cstheme="minorHAnsi"/>
          <w:color w:val="000000" w:themeColor="text1"/>
          <w:lang w:eastAsia="en-NZ"/>
        </w:rPr>
        <w:t>income and</w:t>
      </w:r>
      <w:r w:rsidR="00FE67EB" w:rsidRPr="00F259E4">
        <w:rPr>
          <w:rFonts w:cstheme="minorHAnsi"/>
          <w:color w:val="000000" w:themeColor="text1"/>
          <w:lang w:eastAsia="en-NZ"/>
        </w:rPr>
        <w:t>/or</w:t>
      </w:r>
      <w:r w:rsidR="004A5BA3" w:rsidRPr="00F259E4">
        <w:rPr>
          <w:rFonts w:cstheme="minorHAnsi"/>
          <w:color w:val="000000" w:themeColor="text1"/>
          <w:lang w:eastAsia="en-NZ"/>
        </w:rPr>
        <w:t xml:space="preserve"> large working </w:t>
      </w:r>
      <w:r w:rsidR="002F7AFA" w:rsidRPr="00F259E4">
        <w:rPr>
          <w:rFonts w:cstheme="minorHAnsi"/>
          <w:color w:val="000000" w:themeColor="text1"/>
          <w:lang w:eastAsia="en-NZ"/>
        </w:rPr>
        <w:t>households that currently aren’t eligible for the subsidy.</w:t>
      </w:r>
    </w:p>
    <w:p w14:paraId="51EC1FC7" w14:textId="10409EFD" w:rsidR="00E31ED2" w:rsidRDefault="00E866B7" w:rsidP="00273087">
      <w:pPr>
        <w:pStyle w:val="ListParagraph"/>
        <w:widowControl w:val="0"/>
        <w:numPr>
          <w:ilvl w:val="0"/>
          <w:numId w:val="26"/>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ENA is </w:t>
      </w:r>
      <w:r w:rsidR="001F641D" w:rsidRPr="00F259E4">
        <w:rPr>
          <w:rFonts w:cstheme="minorHAnsi"/>
          <w:color w:val="000000" w:themeColor="text1"/>
          <w:lang w:eastAsia="en-NZ"/>
        </w:rPr>
        <w:t xml:space="preserve">also </w:t>
      </w:r>
      <w:r w:rsidRPr="00F259E4">
        <w:rPr>
          <w:rFonts w:cstheme="minorHAnsi"/>
          <w:color w:val="000000" w:themeColor="text1"/>
          <w:lang w:eastAsia="en-NZ"/>
        </w:rPr>
        <w:t>supportive of the work carried out by the Electricity Retailers Association of</w:t>
      </w:r>
      <w:r w:rsidR="00634BA3">
        <w:rPr>
          <w:rFonts w:cstheme="minorHAnsi"/>
          <w:color w:val="000000" w:themeColor="text1"/>
          <w:lang w:eastAsia="en-NZ"/>
        </w:rPr>
        <w:br/>
      </w:r>
      <w:r w:rsidRPr="00F259E4">
        <w:rPr>
          <w:rFonts w:cstheme="minorHAnsi"/>
          <w:color w:val="000000" w:themeColor="text1"/>
          <w:lang w:eastAsia="en-NZ"/>
        </w:rPr>
        <w:t>New Zealand to examine the issues around energy affordability. ERANZ has put forward some practical suggestions for improving outcomes for some consumers in energy hardship</w:t>
      </w:r>
      <w:r w:rsidR="001763EA" w:rsidRPr="00F259E4">
        <w:rPr>
          <w:rFonts w:cstheme="minorHAnsi"/>
          <w:color w:val="000000" w:themeColor="text1"/>
          <w:lang w:eastAsia="en-NZ"/>
        </w:rPr>
        <w:t xml:space="preserve"> which ENA believes merit further consideration</w:t>
      </w:r>
      <w:r w:rsidRPr="00F259E4">
        <w:rPr>
          <w:rFonts w:cstheme="minorHAnsi"/>
          <w:color w:val="000000" w:themeColor="text1"/>
          <w:lang w:eastAsia="en-NZ"/>
        </w:rPr>
        <w:t>.</w:t>
      </w:r>
      <w:r w:rsidR="00AC1C0B" w:rsidRPr="00F259E4">
        <w:rPr>
          <w:rFonts w:cstheme="minorHAnsi"/>
          <w:color w:val="000000" w:themeColor="text1"/>
          <w:lang w:eastAsia="en-NZ"/>
        </w:rPr>
        <w:t xml:space="preserve"> </w:t>
      </w:r>
      <w:r w:rsidR="00D70E18" w:rsidRPr="00F259E4">
        <w:rPr>
          <w:rFonts w:cstheme="minorHAnsi"/>
          <w:color w:val="000000" w:themeColor="text1"/>
          <w:lang w:eastAsia="en-NZ"/>
        </w:rPr>
        <w:t xml:space="preserve"> </w:t>
      </w:r>
    </w:p>
    <w:p w14:paraId="18A7D93A" w14:textId="649C9036" w:rsidR="00E4392E" w:rsidRPr="00F259E4" w:rsidRDefault="00105F0F" w:rsidP="00273087">
      <w:pPr>
        <w:pStyle w:val="ListParagraph"/>
        <w:widowControl w:val="0"/>
        <w:numPr>
          <w:ilvl w:val="0"/>
          <w:numId w:val="26"/>
        </w:numPr>
        <w:ind w:left="851" w:hanging="425"/>
        <w:rPr>
          <w:rFonts w:cstheme="minorHAnsi"/>
          <w:color w:val="000000" w:themeColor="text1"/>
          <w:lang w:eastAsia="en-NZ"/>
        </w:rPr>
        <w:sectPr w:rsidR="00E4392E" w:rsidRPr="00F259E4" w:rsidSect="001468A3">
          <w:pgSz w:w="11906" w:h="16838"/>
          <w:pgMar w:top="1440" w:right="1440" w:bottom="1440" w:left="1440" w:header="709" w:footer="709" w:gutter="0"/>
          <w:cols w:space="708"/>
          <w:formProt w:val="0"/>
          <w:docGrid w:linePitch="360"/>
        </w:sectPr>
      </w:pPr>
      <w:r>
        <w:rPr>
          <w:rFonts w:cstheme="minorHAnsi"/>
          <w:color w:val="000000" w:themeColor="text1"/>
          <w:lang w:eastAsia="en-NZ"/>
        </w:rPr>
        <w:t xml:space="preserve">The </w:t>
      </w:r>
      <w:r w:rsidRPr="00105F0F">
        <w:rPr>
          <w:rFonts w:cstheme="minorHAnsi"/>
          <w:color w:val="000000" w:themeColor="text1"/>
          <w:lang w:eastAsia="en-NZ"/>
        </w:rPr>
        <w:t xml:space="preserve">government </w:t>
      </w:r>
      <w:r>
        <w:rPr>
          <w:rFonts w:cstheme="minorHAnsi"/>
          <w:color w:val="000000" w:themeColor="text1"/>
          <w:lang w:eastAsia="en-NZ"/>
        </w:rPr>
        <w:t xml:space="preserve">should consider the merits of </w:t>
      </w:r>
      <w:r w:rsidRPr="00105F0F">
        <w:rPr>
          <w:rFonts w:cstheme="minorHAnsi"/>
          <w:color w:val="000000" w:themeColor="text1"/>
          <w:lang w:eastAsia="en-NZ"/>
        </w:rPr>
        <w:t>establish</w:t>
      </w:r>
      <w:r>
        <w:rPr>
          <w:rFonts w:cstheme="minorHAnsi"/>
          <w:color w:val="000000" w:themeColor="text1"/>
          <w:lang w:eastAsia="en-NZ"/>
        </w:rPr>
        <w:t>ing</w:t>
      </w:r>
      <w:r w:rsidRPr="00105F0F">
        <w:rPr>
          <w:rFonts w:cstheme="minorHAnsi"/>
          <w:color w:val="000000" w:themeColor="text1"/>
          <w:lang w:eastAsia="en-NZ"/>
        </w:rPr>
        <w:t xml:space="preserve"> a retail option for those consumers that would otherwise struggle to find an electricity retailer.</w:t>
      </w:r>
    </w:p>
    <w:bookmarkEnd w:id="1"/>
    <w:p w14:paraId="336E39C1" w14:textId="0B8480D9" w:rsidR="00742906" w:rsidRPr="00634BA3" w:rsidRDefault="00742906" w:rsidP="00634BA3">
      <w:pPr>
        <w:pStyle w:val="Heading2"/>
        <w:spacing w:after="480"/>
        <w:rPr>
          <w:sz w:val="28"/>
        </w:rPr>
      </w:pPr>
      <w:r w:rsidRPr="00F259E4">
        <w:lastRenderedPageBreak/>
        <w:t xml:space="preserve">Part </w:t>
      </w:r>
      <w:r w:rsidR="00736263">
        <w:t>F</w:t>
      </w:r>
      <w:r w:rsidRPr="00F259E4">
        <w:t xml:space="preserve">our: Industry </w:t>
      </w:r>
    </w:p>
    <w:p w14:paraId="26AA8046" w14:textId="77777777" w:rsidR="00742906" w:rsidRPr="00736263" w:rsidRDefault="00742906" w:rsidP="00742906">
      <w:pPr>
        <w:rPr>
          <w:rFonts w:cstheme="minorHAnsi"/>
          <w:b/>
          <w:sz w:val="24"/>
        </w:rPr>
      </w:pPr>
      <w:r w:rsidRPr="00F259E4">
        <w:rPr>
          <w:rFonts w:cstheme="minorHAnsi"/>
          <w:b/>
          <w:sz w:val="24"/>
        </w:rPr>
        <w:t>Generation</w:t>
      </w:r>
    </w:p>
    <w:p w14:paraId="78D680C2" w14:textId="1E0590B1" w:rsidR="00742906" w:rsidRPr="00634BA3" w:rsidRDefault="00742906" w:rsidP="00273087">
      <w:pPr>
        <w:pStyle w:val="ListParagraph"/>
        <w:numPr>
          <w:ilvl w:val="0"/>
          <w:numId w:val="53"/>
        </w:numPr>
        <w:ind w:left="426" w:hanging="426"/>
        <w:contextualSpacing w:val="0"/>
        <w:rPr>
          <w:rFonts w:cstheme="minorHAnsi"/>
          <w:b/>
          <w:sz w:val="24"/>
        </w:rPr>
      </w:pPr>
      <w:r w:rsidRPr="00736263">
        <w:rPr>
          <w:rStyle w:val="Strong"/>
          <w:rFonts w:cstheme="minorHAnsi"/>
          <w:i w:val="0"/>
          <w:color w:val="000000" w:themeColor="text1"/>
          <w:sz w:val="22"/>
          <w:szCs w:val="22"/>
        </w:rPr>
        <w:t>What are your views on the assessment of generation sector performance</w:t>
      </w:r>
      <w:r w:rsidR="00634BA3">
        <w:rPr>
          <w:rStyle w:val="Strong"/>
          <w:rFonts w:cstheme="minorHAnsi"/>
          <w:i w:val="0"/>
          <w:color w:val="000000" w:themeColor="text1"/>
          <w:sz w:val="22"/>
          <w:szCs w:val="22"/>
        </w:rPr>
        <w:br/>
      </w:r>
      <w:r w:rsidRPr="00634BA3">
        <w:rPr>
          <w:rFonts w:cstheme="minorHAnsi"/>
        </w:rPr>
        <w:t xml:space="preserve">No comments. </w:t>
      </w:r>
    </w:p>
    <w:p w14:paraId="5DC358E4" w14:textId="557FF6B4" w:rsidR="00742906" w:rsidRPr="00634BA3" w:rsidRDefault="00742906" w:rsidP="00273087">
      <w:pPr>
        <w:pStyle w:val="BodyText"/>
        <w:numPr>
          <w:ilvl w:val="0"/>
          <w:numId w:val="53"/>
        </w:numPr>
        <w:ind w:left="426" w:hanging="426"/>
        <w:rPr>
          <w:rStyle w:val="Strong"/>
          <w:rFonts w:asciiTheme="minorHAnsi" w:hAnsiTheme="minorHAnsi" w:cstheme="minorHAnsi"/>
          <w:i w:val="0"/>
          <w:color w:val="000000" w:themeColor="text1"/>
          <w:sz w:val="22"/>
          <w:szCs w:val="22"/>
        </w:rPr>
      </w:pPr>
      <w:r w:rsidRPr="00736263">
        <w:rPr>
          <w:rStyle w:val="Strong"/>
          <w:rFonts w:asciiTheme="minorHAnsi" w:hAnsiTheme="minorHAnsi" w:cstheme="minorHAnsi"/>
          <w:i w:val="0"/>
          <w:color w:val="000000" w:themeColor="text1"/>
          <w:sz w:val="22"/>
          <w:szCs w:val="22"/>
        </w:rPr>
        <w:t>What are your views of the assessment of barriers to competition in the generation sector?</w:t>
      </w:r>
      <w:r w:rsidR="00634BA3">
        <w:rPr>
          <w:rStyle w:val="Strong"/>
          <w:rFonts w:asciiTheme="minorHAnsi" w:hAnsiTheme="minorHAnsi" w:cstheme="minorHAnsi"/>
          <w:i w:val="0"/>
          <w:color w:val="000000" w:themeColor="text1"/>
          <w:sz w:val="22"/>
          <w:szCs w:val="22"/>
        </w:rPr>
        <w:br/>
      </w:r>
      <w:r w:rsidRPr="00634BA3">
        <w:rPr>
          <w:rStyle w:val="Strong"/>
          <w:rFonts w:asciiTheme="minorHAnsi" w:hAnsiTheme="minorHAnsi" w:cstheme="minorHAnsi"/>
          <w:b w:val="0"/>
          <w:i w:val="0"/>
          <w:color w:val="000000" w:themeColor="text1"/>
          <w:sz w:val="22"/>
          <w:szCs w:val="22"/>
        </w:rPr>
        <w:t xml:space="preserve">No comments. </w:t>
      </w:r>
    </w:p>
    <w:p w14:paraId="1015F131" w14:textId="7E42632F" w:rsidR="00742906" w:rsidRPr="00634BA3" w:rsidRDefault="00742906" w:rsidP="00273087">
      <w:pPr>
        <w:pStyle w:val="BodyText"/>
        <w:numPr>
          <w:ilvl w:val="0"/>
          <w:numId w:val="53"/>
        </w:numPr>
        <w:ind w:left="426" w:hanging="426"/>
        <w:rPr>
          <w:rFonts w:asciiTheme="minorHAnsi" w:hAnsiTheme="minorHAnsi" w:cstheme="minorHAnsi"/>
          <w:b/>
          <w:bCs/>
          <w:color w:val="000000" w:themeColor="text1"/>
        </w:rPr>
      </w:pPr>
      <w:r w:rsidRPr="00736263">
        <w:rPr>
          <w:rStyle w:val="Strong"/>
          <w:rFonts w:asciiTheme="minorHAnsi" w:hAnsiTheme="minorHAnsi" w:cstheme="minorHAnsi"/>
          <w:i w:val="0"/>
          <w:color w:val="000000" w:themeColor="text1"/>
          <w:sz w:val="22"/>
          <w:szCs w:val="22"/>
        </w:rPr>
        <w:t>What are your views on whether current arrangements will ensure sufficient new generation to meet demand?</w:t>
      </w:r>
      <w:r w:rsidR="00634BA3">
        <w:rPr>
          <w:rStyle w:val="Strong"/>
          <w:rFonts w:asciiTheme="minorHAnsi" w:hAnsiTheme="minorHAnsi" w:cstheme="minorHAnsi"/>
          <w:i w:val="0"/>
          <w:color w:val="000000" w:themeColor="text1"/>
          <w:sz w:val="22"/>
          <w:szCs w:val="22"/>
        </w:rPr>
        <w:br/>
      </w:r>
      <w:r w:rsidRPr="00634BA3">
        <w:rPr>
          <w:rFonts w:asciiTheme="minorHAnsi" w:hAnsiTheme="minorHAnsi" w:cstheme="minorHAnsi"/>
          <w:bCs/>
          <w:color w:val="000000" w:themeColor="text1"/>
        </w:rPr>
        <w:t>No comments.</w:t>
      </w:r>
    </w:p>
    <w:p w14:paraId="10C38F77" w14:textId="77777777" w:rsidR="00742906" w:rsidRPr="00736263" w:rsidRDefault="00742906" w:rsidP="00273087">
      <w:pPr>
        <w:pStyle w:val="BodyText"/>
        <w:numPr>
          <w:ilvl w:val="0"/>
          <w:numId w:val="53"/>
        </w:numPr>
        <w:ind w:left="426" w:hanging="426"/>
        <w:rPr>
          <w:rFonts w:asciiTheme="minorHAnsi" w:hAnsiTheme="minorHAnsi" w:cstheme="minorHAnsi"/>
          <w:b/>
          <w:bCs/>
          <w:i/>
          <w:color w:val="000000" w:themeColor="text1"/>
        </w:rPr>
      </w:pPr>
      <w:r w:rsidRPr="00736263">
        <w:rPr>
          <w:rStyle w:val="Strong"/>
          <w:rFonts w:asciiTheme="minorHAnsi" w:hAnsiTheme="minorHAnsi" w:cstheme="minorHAnsi"/>
          <w:i w:val="0"/>
          <w:color w:val="000000" w:themeColor="text1"/>
          <w:sz w:val="22"/>
          <w:szCs w:val="22"/>
        </w:rPr>
        <w:t>What are your views on the assessment of retail sector performance?</w:t>
      </w:r>
    </w:p>
    <w:p w14:paraId="7D981DF3" w14:textId="77777777" w:rsidR="00AF0A92" w:rsidRDefault="00AF0A92" w:rsidP="00742906">
      <w:pPr>
        <w:rPr>
          <w:rFonts w:cstheme="minorHAnsi"/>
          <w:b/>
        </w:rPr>
      </w:pPr>
    </w:p>
    <w:p w14:paraId="39637E41" w14:textId="4585FD83" w:rsidR="00742906" w:rsidRPr="00AF0A92" w:rsidRDefault="00742906" w:rsidP="00742906">
      <w:pPr>
        <w:rPr>
          <w:rFonts w:cstheme="minorHAnsi"/>
          <w:b/>
          <w:sz w:val="24"/>
          <w:szCs w:val="24"/>
        </w:rPr>
      </w:pPr>
      <w:r w:rsidRPr="00AF0A92">
        <w:rPr>
          <w:rFonts w:cstheme="minorHAnsi"/>
          <w:b/>
          <w:sz w:val="24"/>
          <w:szCs w:val="24"/>
        </w:rPr>
        <w:t>Retail Sector Competition</w:t>
      </w:r>
    </w:p>
    <w:p w14:paraId="38EF5C08" w14:textId="77777777" w:rsidR="00742906" w:rsidRPr="00F259E4" w:rsidRDefault="00742906" w:rsidP="00273087">
      <w:pPr>
        <w:pStyle w:val="ListParagraph"/>
        <w:numPr>
          <w:ilvl w:val="0"/>
          <w:numId w:val="37"/>
        </w:numPr>
        <w:ind w:left="851" w:hanging="425"/>
        <w:contextualSpacing w:val="0"/>
        <w:rPr>
          <w:rFonts w:cstheme="minorHAnsi"/>
          <w:lang w:val="en-US"/>
        </w:rPr>
      </w:pPr>
      <w:r w:rsidRPr="00F259E4">
        <w:rPr>
          <w:rFonts w:cstheme="minorHAnsi"/>
          <w:lang w:val="en-US"/>
        </w:rPr>
        <w:t>The ENA is aware of concerns about the limited increase in real competition in the retail sector. We appreciate that the EPR report</w:t>
      </w:r>
      <w:r w:rsidRPr="00F259E4">
        <w:rPr>
          <w:rStyle w:val="FootnoteReference"/>
          <w:rFonts w:cstheme="minorHAnsi"/>
          <w:lang w:val="en-US"/>
        </w:rPr>
        <w:footnoteReference w:id="8"/>
      </w:r>
      <w:r w:rsidRPr="00F259E4">
        <w:rPr>
          <w:rFonts w:cstheme="minorHAnsi"/>
          <w:lang w:val="en-US"/>
        </w:rPr>
        <w:t xml:space="preserve"> states “</w:t>
      </w:r>
      <w:r w:rsidRPr="00F259E4">
        <w:rPr>
          <w:rFonts w:cstheme="minorHAnsi"/>
          <w:i/>
          <w:lang w:val="en-US"/>
        </w:rPr>
        <w:t>By many measures, competition among retailers has strengthened in recent years</w:t>
      </w:r>
      <w:r w:rsidRPr="00F259E4">
        <w:rPr>
          <w:rFonts w:cstheme="minorHAnsi"/>
          <w:lang w:val="en-US"/>
        </w:rPr>
        <w:t xml:space="preserve">”, but the International Energy Agency’s most recent report on New Zealand said that the five big retailers accounted for 91% of generation and supplied 93% of customers in 2015. </w:t>
      </w:r>
    </w:p>
    <w:p w14:paraId="51AA5F45" w14:textId="77777777" w:rsidR="00742906" w:rsidRPr="00F259E4" w:rsidRDefault="00742906" w:rsidP="00273087">
      <w:pPr>
        <w:pStyle w:val="ListParagraph"/>
        <w:numPr>
          <w:ilvl w:val="0"/>
          <w:numId w:val="37"/>
        </w:numPr>
        <w:ind w:left="851" w:hanging="425"/>
        <w:contextualSpacing w:val="0"/>
        <w:rPr>
          <w:rFonts w:cstheme="minorHAnsi"/>
          <w:lang w:val="en-US"/>
        </w:rPr>
      </w:pPr>
      <w:r w:rsidRPr="00F259E4">
        <w:rPr>
          <w:rFonts w:cstheme="minorHAnsi"/>
          <w:lang w:val="en-US"/>
        </w:rPr>
        <w:t xml:space="preserve">These proportions had changed over the preceding decade, but not by a large amount. In 2005, the big five retailers had 93% (down 2bp) of generation and 99% (down 6bp) of consumers.  </w:t>
      </w:r>
    </w:p>
    <w:p w14:paraId="1015B508" w14:textId="552C670E" w:rsidR="00742906" w:rsidRPr="00F259E4" w:rsidRDefault="00742906" w:rsidP="00273087">
      <w:pPr>
        <w:pStyle w:val="ListParagraph"/>
        <w:numPr>
          <w:ilvl w:val="0"/>
          <w:numId w:val="37"/>
        </w:numPr>
        <w:ind w:left="851" w:hanging="425"/>
        <w:contextualSpacing w:val="0"/>
        <w:rPr>
          <w:rFonts w:cstheme="minorHAnsi"/>
          <w:lang w:val="en-US"/>
        </w:rPr>
      </w:pPr>
      <w:r w:rsidRPr="00F259E4">
        <w:rPr>
          <w:rFonts w:cstheme="minorHAnsi"/>
          <w:lang w:val="en-US"/>
        </w:rPr>
        <w:t>The IEA noted that this modest change “</w:t>
      </w:r>
      <w:r w:rsidRPr="00F259E4">
        <w:rPr>
          <w:rFonts w:cstheme="minorHAnsi"/>
          <w:i/>
          <w:lang w:val="en-US"/>
        </w:rPr>
        <w:t>could raise concerns of competitive price formation and behavio</w:t>
      </w:r>
      <w:r w:rsidR="00B12AAB">
        <w:rPr>
          <w:rFonts w:cstheme="minorHAnsi"/>
          <w:i/>
          <w:lang w:val="en-US"/>
        </w:rPr>
        <w:t>u</w:t>
      </w:r>
      <w:r w:rsidRPr="00F259E4">
        <w:rPr>
          <w:rFonts w:cstheme="minorHAnsi"/>
          <w:i/>
          <w:lang w:val="en-US"/>
        </w:rPr>
        <w:t>r, and hinder the efficient and innovative development of electricity markets</w:t>
      </w:r>
      <w:r w:rsidRPr="00F259E4">
        <w:rPr>
          <w:rFonts w:cstheme="minorHAnsi"/>
          <w:lang w:val="en-US"/>
        </w:rPr>
        <w:t xml:space="preserve">.” </w:t>
      </w:r>
      <w:r w:rsidRPr="00F259E4">
        <w:rPr>
          <w:rStyle w:val="FootnoteReference"/>
          <w:rFonts w:cstheme="minorHAnsi"/>
          <w:lang w:val="en-US"/>
        </w:rPr>
        <w:footnoteReference w:id="9"/>
      </w:r>
    </w:p>
    <w:p w14:paraId="2BCEBB04" w14:textId="77777777" w:rsidR="00742906" w:rsidRPr="00F259E4" w:rsidRDefault="00742906" w:rsidP="00273087">
      <w:pPr>
        <w:pStyle w:val="ListParagraph"/>
        <w:numPr>
          <w:ilvl w:val="0"/>
          <w:numId w:val="37"/>
        </w:numPr>
        <w:ind w:left="851" w:hanging="425"/>
        <w:contextualSpacing w:val="0"/>
        <w:rPr>
          <w:rFonts w:cstheme="minorHAnsi"/>
          <w:lang w:val="en-US"/>
        </w:rPr>
      </w:pPr>
      <w:r w:rsidRPr="00F259E4">
        <w:rPr>
          <w:rFonts w:cstheme="minorHAnsi"/>
          <w:lang w:val="en-US"/>
        </w:rPr>
        <w:t>The IEA said that, on the positive side, the concentration in the retail market as measured by the Herfindahl-Hirschman Index (HHI) had fallen from 4000 in 2011 to below 3000 in 2015. However, electricity markets with HHI indices above 2500 are considered “</w:t>
      </w:r>
      <w:r w:rsidRPr="00F259E4">
        <w:rPr>
          <w:rFonts w:cstheme="minorHAnsi"/>
          <w:i/>
          <w:lang w:val="en-US"/>
        </w:rPr>
        <w:t>highly concentrated</w:t>
      </w:r>
      <w:r w:rsidRPr="00F259E4">
        <w:rPr>
          <w:rFonts w:cstheme="minorHAnsi"/>
          <w:lang w:val="en-US"/>
        </w:rPr>
        <w:t>”.</w:t>
      </w:r>
      <w:r w:rsidRPr="00F259E4">
        <w:rPr>
          <w:rStyle w:val="FootnoteReference"/>
          <w:rFonts w:cstheme="minorHAnsi"/>
          <w:lang w:val="en-US"/>
        </w:rPr>
        <w:footnoteReference w:id="10"/>
      </w:r>
    </w:p>
    <w:p w14:paraId="34E94A64" w14:textId="77777777" w:rsidR="00742906" w:rsidRPr="00F259E4" w:rsidRDefault="00742906" w:rsidP="00273087">
      <w:pPr>
        <w:pStyle w:val="ListParagraph"/>
        <w:numPr>
          <w:ilvl w:val="0"/>
          <w:numId w:val="37"/>
        </w:numPr>
        <w:ind w:left="851" w:hanging="425"/>
        <w:rPr>
          <w:rFonts w:cstheme="minorHAnsi"/>
        </w:rPr>
      </w:pPr>
      <w:r w:rsidRPr="00F259E4">
        <w:rPr>
          <w:rFonts w:cstheme="minorHAnsi"/>
        </w:rPr>
        <w:t xml:space="preserve">The following graph demonstrates the trend of slow growth in market share of small and medium retailers:  </w:t>
      </w:r>
    </w:p>
    <w:p w14:paraId="74D7B22C" w14:textId="77777777" w:rsidR="00742906" w:rsidRPr="00F259E4" w:rsidRDefault="00742906" w:rsidP="00742906">
      <w:pPr>
        <w:rPr>
          <w:rFonts w:cstheme="minorHAnsi"/>
          <w:lang w:val="en-US"/>
        </w:rPr>
      </w:pPr>
      <w:r w:rsidRPr="00F259E4">
        <w:rPr>
          <w:rFonts w:cstheme="minorHAnsi"/>
          <w:noProof/>
          <w:lang w:val="en-GB" w:eastAsia="en-GB"/>
        </w:rPr>
        <w:lastRenderedPageBreak/>
        <w:drawing>
          <wp:inline distT="0" distB="0" distL="0" distR="0" wp14:anchorId="1EAFC98C" wp14:editId="58D3C158">
            <wp:extent cx="5731510" cy="18834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883410"/>
                    </a:xfrm>
                    <a:prstGeom prst="rect">
                      <a:avLst/>
                    </a:prstGeom>
                  </pic:spPr>
                </pic:pic>
              </a:graphicData>
            </a:graphic>
          </wp:inline>
        </w:drawing>
      </w:r>
    </w:p>
    <w:p w14:paraId="11DB25A4" w14:textId="77777777" w:rsidR="00742906" w:rsidRPr="00D25352" w:rsidRDefault="00742906" w:rsidP="00742906">
      <w:pPr>
        <w:rPr>
          <w:rFonts w:cstheme="minorHAnsi"/>
          <w:sz w:val="19"/>
          <w:szCs w:val="19"/>
          <w:lang w:val="en-US"/>
        </w:rPr>
      </w:pPr>
      <w:r w:rsidRPr="00D25352">
        <w:rPr>
          <w:rFonts w:cstheme="minorHAnsi"/>
          <w:sz w:val="19"/>
          <w:szCs w:val="19"/>
          <w:lang w:val="en-US"/>
        </w:rPr>
        <w:t>Source: EMI retail market share data, Electricity Authority website</w:t>
      </w:r>
    </w:p>
    <w:p w14:paraId="1F3FCE89" w14:textId="77777777" w:rsidR="00742906" w:rsidRPr="00F259E4" w:rsidRDefault="00742906" w:rsidP="00273087">
      <w:pPr>
        <w:pStyle w:val="ListParagraph"/>
        <w:numPr>
          <w:ilvl w:val="0"/>
          <w:numId w:val="39"/>
        </w:numPr>
        <w:ind w:left="851" w:hanging="425"/>
        <w:contextualSpacing w:val="0"/>
        <w:rPr>
          <w:rFonts w:cstheme="minorHAnsi"/>
          <w:lang w:val="en-US"/>
        </w:rPr>
      </w:pPr>
      <w:r w:rsidRPr="00F259E4">
        <w:rPr>
          <w:rFonts w:cstheme="minorHAnsi"/>
          <w:lang w:val="en-US"/>
        </w:rPr>
        <w:t>The IEA commented that while entry is possible for smaller firms, “</w:t>
      </w:r>
      <w:r w:rsidRPr="00F259E4">
        <w:rPr>
          <w:rFonts w:cstheme="minorHAnsi"/>
          <w:i/>
          <w:lang w:val="en-US"/>
        </w:rPr>
        <w:t>independent retailers have limited possibilities to expand their business. Ensuring a level playing field for new entrants and mitigating the ongoing dominance of the five big gentailers remains a key challenge for the government</w:t>
      </w:r>
      <w:r w:rsidRPr="00F259E4">
        <w:rPr>
          <w:rFonts w:cstheme="minorHAnsi"/>
          <w:lang w:val="en-US"/>
        </w:rPr>
        <w:t>”.</w:t>
      </w:r>
      <w:r w:rsidRPr="00F259E4">
        <w:rPr>
          <w:rStyle w:val="FootnoteReference"/>
          <w:rFonts w:cstheme="minorHAnsi"/>
          <w:lang w:val="en-US"/>
        </w:rPr>
        <w:footnoteReference w:id="11"/>
      </w:r>
    </w:p>
    <w:p w14:paraId="6DE31BF5" w14:textId="77777777" w:rsidR="00742906" w:rsidRPr="00F259E4" w:rsidRDefault="00742906" w:rsidP="00273087">
      <w:pPr>
        <w:pStyle w:val="ListParagraph"/>
        <w:numPr>
          <w:ilvl w:val="0"/>
          <w:numId w:val="39"/>
        </w:numPr>
        <w:ind w:left="851" w:hanging="425"/>
        <w:contextualSpacing w:val="0"/>
        <w:rPr>
          <w:rFonts w:cstheme="minorHAnsi"/>
        </w:rPr>
      </w:pPr>
      <w:r w:rsidRPr="00F259E4">
        <w:rPr>
          <w:rFonts w:cstheme="minorHAnsi"/>
        </w:rPr>
        <w:t>The IEA used data as at 2015</w:t>
      </w:r>
      <w:r w:rsidRPr="00F259E4">
        <w:rPr>
          <w:rStyle w:val="FootnoteReference"/>
          <w:rFonts w:cstheme="minorHAnsi"/>
        </w:rPr>
        <w:footnoteReference w:id="12"/>
      </w:r>
      <w:r w:rsidRPr="00F259E4">
        <w:rPr>
          <w:rFonts w:cstheme="minorHAnsi"/>
        </w:rPr>
        <w:t>. The following table compares parent company</w:t>
      </w:r>
      <w:r w:rsidRPr="00F259E4">
        <w:rPr>
          <w:rStyle w:val="FootnoteReference"/>
          <w:rFonts w:cstheme="minorHAnsi"/>
        </w:rPr>
        <w:footnoteReference w:id="13"/>
      </w:r>
      <w:r w:rsidRPr="00F259E4">
        <w:rPr>
          <w:rFonts w:cstheme="minorHAnsi"/>
        </w:rPr>
        <w:t xml:space="preserve"> market share as at 31 July in 2015 and 2018</w:t>
      </w:r>
      <w:r w:rsidRPr="00F259E4">
        <w:rPr>
          <w:rStyle w:val="FootnoteReference"/>
          <w:rFonts w:cstheme="minorHAnsi"/>
        </w:rPr>
        <w:footnoteReference w:id="14"/>
      </w:r>
      <w:r w:rsidRPr="00F259E4">
        <w:rPr>
          <w:rFonts w:cstheme="minorHAnsi"/>
        </w:rPr>
        <w:t xml:space="preserve">. As at 31 July 2018, the five largest incumbent parent company retailers had a market share of 88.6%, with the balance of 11.4% held by small and medium retailers, compared with 92.1% and 7.9% respectively in 2015. Only two of the five incumbent retailers have lower actual customer numbers at the end of July 2018 compared to three years ago. </w:t>
      </w:r>
    </w:p>
    <w:p w14:paraId="3CB47D11" w14:textId="2A547B3E" w:rsidR="00742906" w:rsidRPr="00F259E4" w:rsidRDefault="00742906" w:rsidP="00273087">
      <w:pPr>
        <w:pStyle w:val="ListParagraph"/>
        <w:numPr>
          <w:ilvl w:val="0"/>
          <w:numId w:val="39"/>
        </w:numPr>
        <w:ind w:left="851" w:hanging="425"/>
        <w:rPr>
          <w:rFonts w:cstheme="minorHAnsi"/>
        </w:rPr>
      </w:pPr>
      <w:r w:rsidRPr="00F259E4">
        <w:rPr>
          <w:rFonts w:cstheme="minorHAnsi"/>
        </w:rPr>
        <w:t>Small and medium retailers have gained an average of 1.2% market share each year (approximately 27,000 ICPs each year) or 16% of the average 170,000 ICPs that switch</w:t>
      </w:r>
      <w:r w:rsidR="00401EF6">
        <w:rPr>
          <w:rFonts w:cstheme="minorHAnsi"/>
        </w:rPr>
        <w:br/>
      </w:r>
      <w:r w:rsidRPr="00F259E4">
        <w:rPr>
          <w:rFonts w:cstheme="minorHAnsi"/>
        </w:rPr>
        <w:t xml:space="preserve">each year. </w:t>
      </w:r>
    </w:p>
    <w:p w14:paraId="732EC0C7" w14:textId="77777777" w:rsidR="00742906" w:rsidRPr="00F259E4" w:rsidRDefault="00742906" w:rsidP="00742906">
      <w:pPr>
        <w:rPr>
          <w:rFonts w:cstheme="minorHAnsi"/>
        </w:rPr>
      </w:pPr>
      <w:r w:rsidRPr="00F259E4">
        <w:rPr>
          <w:rFonts w:cstheme="minorHAnsi"/>
          <w:noProof/>
          <w:lang w:val="en-GB" w:eastAsia="en-GB"/>
        </w:rPr>
        <w:drawing>
          <wp:inline distT="0" distB="0" distL="0" distR="0" wp14:anchorId="4EAD43BB" wp14:editId="7CFE3CB5">
            <wp:extent cx="5729567" cy="1722827"/>
            <wp:effectExtent l="0" t="0" r="1143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8661" cy="1725561"/>
                    </a:xfrm>
                    <a:prstGeom prst="rect">
                      <a:avLst/>
                    </a:prstGeom>
                    <a:noFill/>
                    <a:ln>
                      <a:noFill/>
                    </a:ln>
                  </pic:spPr>
                </pic:pic>
              </a:graphicData>
            </a:graphic>
          </wp:inline>
        </w:drawing>
      </w:r>
    </w:p>
    <w:p w14:paraId="63A676B2" w14:textId="77777777" w:rsidR="00742906" w:rsidRPr="00EF4EE6" w:rsidRDefault="00742906" w:rsidP="00742906">
      <w:pPr>
        <w:spacing w:after="60"/>
        <w:rPr>
          <w:rFonts w:cstheme="minorHAnsi"/>
          <w:sz w:val="19"/>
          <w:szCs w:val="19"/>
        </w:rPr>
      </w:pPr>
      <w:r w:rsidRPr="00EF4EE6">
        <w:rPr>
          <w:rFonts w:cstheme="minorHAnsi"/>
          <w:sz w:val="19"/>
          <w:szCs w:val="19"/>
        </w:rPr>
        <w:t xml:space="preserve">Source: </w:t>
      </w:r>
      <w:r w:rsidRPr="00EF4EE6">
        <w:rPr>
          <w:rFonts w:cstheme="minorHAnsi"/>
          <w:sz w:val="19"/>
          <w:szCs w:val="19"/>
          <w:lang w:val="en-US"/>
        </w:rPr>
        <w:t>EMI retail market share data, Electricity Authority website</w:t>
      </w:r>
    </w:p>
    <w:p w14:paraId="042473CB" w14:textId="77777777" w:rsidR="00742906" w:rsidRPr="00F259E4" w:rsidRDefault="00742906" w:rsidP="00742906">
      <w:pPr>
        <w:rPr>
          <w:rFonts w:cstheme="minorHAnsi"/>
          <w:sz w:val="20"/>
          <w:szCs w:val="20"/>
        </w:rPr>
      </w:pPr>
      <w:r w:rsidRPr="00F259E4">
        <w:rPr>
          <w:rFonts w:cstheme="minorHAnsi"/>
          <w:sz w:val="20"/>
          <w:szCs w:val="20"/>
        </w:rPr>
        <w:lastRenderedPageBreak/>
        <w:t>Note: Trustpower completed a takeover of King Country Energy’s retail customer base on 31 May 2018, increasing its  market share by 0.75%.</w:t>
      </w:r>
    </w:p>
    <w:p w14:paraId="057AE028" w14:textId="77777777" w:rsidR="00742906" w:rsidRPr="00F259E4" w:rsidRDefault="00742906" w:rsidP="00273087">
      <w:pPr>
        <w:pStyle w:val="ListParagraph"/>
        <w:numPr>
          <w:ilvl w:val="0"/>
          <w:numId w:val="38"/>
        </w:numPr>
        <w:ind w:left="851" w:hanging="425"/>
        <w:contextualSpacing w:val="0"/>
        <w:rPr>
          <w:rFonts w:cstheme="minorHAnsi"/>
        </w:rPr>
      </w:pPr>
      <w:r w:rsidRPr="00F259E4">
        <w:rPr>
          <w:rFonts w:cstheme="minorHAnsi"/>
        </w:rPr>
        <w:t xml:space="preserve">The Electricity Authority positively promotes that New Zealand now has 40 electricity retailers. Of this number, there are 35 small and medium sized retailers which together service 242,929 customers. Of these, 33 have a customer base that is less than a tenth the size of Trustpower - the smallest of the five incumbent retailers. Many stakeholders have queried whether there is a level playing field for these new entrants. </w:t>
      </w:r>
    </w:p>
    <w:p w14:paraId="55F614DA" w14:textId="7D0A91DD" w:rsidR="00742906" w:rsidRPr="00F259E4" w:rsidRDefault="00742906" w:rsidP="00273087">
      <w:pPr>
        <w:pStyle w:val="ListParagraph"/>
        <w:numPr>
          <w:ilvl w:val="0"/>
          <w:numId w:val="38"/>
        </w:numPr>
        <w:ind w:left="851" w:hanging="425"/>
        <w:rPr>
          <w:rFonts w:cstheme="minorHAnsi"/>
          <w:lang w:val="en-US"/>
        </w:rPr>
      </w:pPr>
      <w:r w:rsidRPr="00F259E4">
        <w:rPr>
          <w:rFonts w:cstheme="minorHAnsi"/>
          <w:lang w:val="en-US"/>
        </w:rPr>
        <w:t>Ecotricity characterised the attributes available to independent retailers - relative to incumbent gentailers when approaching a potential customer - in the following schematic</w:t>
      </w:r>
      <w:r w:rsidR="00523FA6">
        <w:rPr>
          <w:rFonts w:cstheme="minorHAnsi"/>
          <w:lang w:val="en-US"/>
        </w:rPr>
        <w:t>”:</w:t>
      </w:r>
      <w:r w:rsidRPr="00F259E4">
        <w:rPr>
          <w:rStyle w:val="FootnoteReference"/>
          <w:rFonts w:cstheme="minorHAnsi"/>
          <w:lang w:val="en-US"/>
        </w:rPr>
        <w:footnoteReference w:id="15"/>
      </w:r>
    </w:p>
    <w:p w14:paraId="5C8AE37C" w14:textId="77777777" w:rsidR="00742906" w:rsidRPr="00F259E4" w:rsidRDefault="00742906" w:rsidP="00742906">
      <w:pPr>
        <w:jc w:val="center"/>
        <w:rPr>
          <w:rFonts w:cstheme="minorHAnsi"/>
        </w:rPr>
      </w:pPr>
      <w:r w:rsidRPr="00F259E4">
        <w:rPr>
          <w:rFonts w:cstheme="minorHAnsi"/>
          <w:noProof/>
          <w:lang w:val="en-GB" w:eastAsia="en-GB"/>
        </w:rPr>
        <w:drawing>
          <wp:inline distT="0" distB="0" distL="0" distR="0" wp14:anchorId="370B8233" wp14:editId="4F8EA3E9">
            <wp:extent cx="5391150" cy="285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150" cy="2857500"/>
                    </a:xfrm>
                    <a:prstGeom prst="rect">
                      <a:avLst/>
                    </a:prstGeom>
                  </pic:spPr>
                </pic:pic>
              </a:graphicData>
            </a:graphic>
          </wp:inline>
        </w:drawing>
      </w:r>
    </w:p>
    <w:p w14:paraId="5745E24A" w14:textId="73A0D421" w:rsidR="00742906" w:rsidRDefault="00742906" w:rsidP="00273087">
      <w:pPr>
        <w:pStyle w:val="ListParagraph"/>
        <w:numPr>
          <w:ilvl w:val="0"/>
          <w:numId w:val="40"/>
        </w:numPr>
        <w:ind w:left="851" w:hanging="425"/>
        <w:contextualSpacing w:val="0"/>
        <w:rPr>
          <w:rFonts w:cstheme="minorHAnsi"/>
        </w:rPr>
      </w:pPr>
      <w:r w:rsidRPr="00F259E4">
        <w:rPr>
          <w:rFonts w:cstheme="minorHAnsi"/>
        </w:rPr>
        <w:t xml:space="preserve">ENA suggests there are a number of factors which supports the view that new entrants to retailing don’t </w:t>
      </w:r>
      <w:r w:rsidR="007B43E8">
        <w:rPr>
          <w:rFonts w:cstheme="minorHAnsi"/>
        </w:rPr>
        <w:t>face</w:t>
      </w:r>
      <w:r w:rsidRPr="00F259E4">
        <w:rPr>
          <w:rFonts w:cstheme="minorHAnsi"/>
        </w:rPr>
        <w:t xml:space="preserve"> a level playing field. These barriers to entry contribute to slow growth in market share of new entrant retailers. </w:t>
      </w:r>
    </w:p>
    <w:p w14:paraId="2F070D58" w14:textId="7BF6F656" w:rsidR="00742906" w:rsidRPr="00D079CD" w:rsidRDefault="00D079CD" w:rsidP="00273087">
      <w:pPr>
        <w:pStyle w:val="ListParagraph"/>
        <w:numPr>
          <w:ilvl w:val="0"/>
          <w:numId w:val="40"/>
        </w:numPr>
        <w:spacing w:after="360"/>
        <w:ind w:left="850" w:hanging="425"/>
        <w:contextualSpacing w:val="0"/>
        <w:rPr>
          <w:rFonts w:cstheme="minorHAnsi"/>
        </w:rPr>
      </w:pPr>
      <w:r w:rsidRPr="00D079CD">
        <w:rPr>
          <w:rFonts w:cstheme="minorHAnsi"/>
        </w:rPr>
        <w:t>The ENA notes that market concentration varies significantly by region</w:t>
      </w:r>
      <w:r w:rsidR="007B43E8">
        <w:rPr>
          <w:rFonts w:cstheme="minorHAnsi"/>
        </w:rPr>
        <w:t>,</w:t>
      </w:r>
      <w:r w:rsidRPr="00D079CD">
        <w:rPr>
          <w:rFonts w:cstheme="minorHAnsi"/>
        </w:rPr>
        <w:t xml:space="preserve"> as is evident from the EMI HHI trends data prepared by the Electricity Authority.</w:t>
      </w:r>
    </w:p>
    <w:p w14:paraId="3C97C85A" w14:textId="77777777" w:rsidR="00742906" w:rsidRPr="00D25352" w:rsidRDefault="00742906" w:rsidP="001B0D36">
      <w:pPr>
        <w:pStyle w:val="Heading2"/>
        <w:rPr>
          <w:color w:val="000000" w:themeColor="text1"/>
          <w:sz w:val="24"/>
          <w:szCs w:val="24"/>
        </w:rPr>
      </w:pPr>
      <w:r w:rsidRPr="00D25352">
        <w:rPr>
          <w:color w:val="000000" w:themeColor="text1"/>
          <w:sz w:val="24"/>
          <w:szCs w:val="24"/>
        </w:rPr>
        <w:t xml:space="preserve">Two-tier market </w:t>
      </w:r>
    </w:p>
    <w:p w14:paraId="25EE074E" w14:textId="19E08B5E" w:rsidR="00742906" w:rsidRPr="00F259E4" w:rsidRDefault="00742906" w:rsidP="00273087">
      <w:pPr>
        <w:pStyle w:val="ListParagraph"/>
        <w:numPr>
          <w:ilvl w:val="0"/>
          <w:numId w:val="40"/>
        </w:numPr>
        <w:ind w:left="851" w:hanging="425"/>
        <w:contextualSpacing w:val="0"/>
        <w:rPr>
          <w:rFonts w:cstheme="minorHAnsi"/>
        </w:rPr>
      </w:pPr>
      <w:r w:rsidRPr="00F259E4">
        <w:rPr>
          <w:rFonts w:cstheme="minorHAnsi"/>
        </w:rPr>
        <w:t>ENA agrees with Energy Minister Megan Wood’s comments, in a press release accompanying the issues paper, that “for residential customers it appears that a ‘t</w:t>
      </w:r>
      <w:r w:rsidR="00AF0A92">
        <w:rPr>
          <w:rFonts w:cstheme="minorHAnsi"/>
        </w:rPr>
        <w:t>wo-tier’ market is developing”.</w:t>
      </w:r>
    </w:p>
    <w:p w14:paraId="379AF050" w14:textId="6AC32152" w:rsidR="00742906" w:rsidRPr="00F259E4" w:rsidRDefault="00742906" w:rsidP="00273087">
      <w:pPr>
        <w:pStyle w:val="ListParagraph"/>
        <w:numPr>
          <w:ilvl w:val="0"/>
          <w:numId w:val="40"/>
        </w:numPr>
        <w:ind w:left="851" w:hanging="425"/>
        <w:contextualSpacing w:val="0"/>
        <w:rPr>
          <w:rFonts w:cstheme="minorHAnsi"/>
        </w:rPr>
      </w:pPr>
      <w:r w:rsidRPr="00F259E4">
        <w:rPr>
          <w:rFonts w:cstheme="minorHAnsi"/>
        </w:rPr>
        <w:t xml:space="preserve">As the </w:t>
      </w:r>
      <w:r w:rsidR="00F66A2B">
        <w:rPr>
          <w:rFonts w:cstheme="minorHAnsi"/>
        </w:rPr>
        <w:t>Panel</w:t>
      </w:r>
      <w:r w:rsidRPr="00F259E4">
        <w:rPr>
          <w:rFonts w:cstheme="minorHAnsi"/>
        </w:rPr>
        <w:t xml:space="preserve"> pointed out in its issues paper, some stakeholders have made similar comments about energy ‘haves’ and ‘have-nots’ based on those who shop around</w:t>
      </w:r>
      <w:r w:rsidR="00AF0A92">
        <w:rPr>
          <w:rFonts w:cstheme="minorHAnsi"/>
        </w:rPr>
        <w:t xml:space="preserve"> for the lowest prices.</w:t>
      </w:r>
    </w:p>
    <w:p w14:paraId="4E01F0A6" w14:textId="7FAA9701" w:rsidR="00742906" w:rsidRPr="00F259E4" w:rsidRDefault="00742906" w:rsidP="00273087">
      <w:pPr>
        <w:pStyle w:val="ListParagraph"/>
        <w:numPr>
          <w:ilvl w:val="0"/>
          <w:numId w:val="40"/>
        </w:numPr>
        <w:ind w:left="851" w:hanging="425"/>
        <w:contextualSpacing w:val="0"/>
        <w:rPr>
          <w:rFonts w:cstheme="minorHAnsi"/>
        </w:rPr>
      </w:pPr>
      <w:r w:rsidRPr="00F259E4">
        <w:rPr>
          <w:rFonts w:cstheme="minorHAnsi"/>
        </w:rPr>
        <w:lastRenderedPageBreak/>
        <w:t>The ENA is strongly supportive of Electricity Authority research into potential savings of customer switching</w:t>
      </w:r>
      <w:r w:rsidRPr="00F259E4">
        <w:rPr>
          <w:rStyle w:val="FootnoteReference"/>
          <w:rFonts w:cstheme="minorHAnsi"/>
        </w:rPr>
        <w:footnoteReference w:id="16"/>
      </w:r>
      <w:r w:rsidR="00EF4EE6">
        <w:rPr>
          <w:rFonts w:cstheme="minorHAnsi"/>
        </w:rPr>
        <w:t xml:space="preserve">. </w:t>
      </w:r>
    </w:p>
    <w:p w14:paraId="3B79E400" w14:textId="36BD0EAB" w:rsidR="00742906" w:rsidRPr="00F259E4" w:rsidRDefault="00742906" w:rsidP="00273087">
      <w:pPr>
        <w:pStyle w:val="ListParagraph"/>
        <w:numPr>
          <w:ilvl w:val="0"/>
          <w:numId w:val="40"/>
        </w:numPr>
        <w:ind w:left="851" w:hanging="425"/>
        <w:contextualSpacing w:val="0"/>
        <w:rPr>
          <w:rFonts w:cstheme="minorHAnsi"/>
        </w:rPr>
      </w:pPr>
      <w:r w:rsidRPr="00F259E4">
        <w:rPr>
          <w:rFonts w:cstheme="minorHAnsi"/>
        </w:rPr>
        <w:t>The savings available across residential consumers if they had switched to the lowest priced generally available plan, was $242.18 a year in the South Island, and $195.57 in the North Island in 2017</w:t>
      </w:r>
      <w:r w:rsidRPr="00F259E4">
        <w:rPr>
          <w:rStyle w:val="FootnoteReference"/>
          <w:rFonts w:cstheme="minorHAnsi"/>
        </w:rPr>
        <w:footnoteReference w:id="17"/>
      </w:r>
      <w:r w:rsidR="00EF4EE6">
        <w:rPr>
          <w:rFonts w:cstheme="minorHAnsi"/>
        </w:rPr>
        <w:t>.</w:t>
      </w:r>
    </w:p>
    <w:p w14:paraId="4E2CA9B8" w14:textId="77777777" w:rsidR="00742906" w:rsidRPr="00F259E4" w:rsidRDefault="00742906" w:rsidP="00273087">
      <w:pPr>
        <w:pStyle w:val="ListParagraph"/>
        <w:numPr>
          <w:ilvl w:val="0"/>
          <w:numId w:val="40"/>
        </w:numPr>
        <w:ind w:left="851" w:hanging="425"/>
        <w:rPr>
          <w:rFonts w:cstheme="minorHAnsi"/>
        </w:rPr>
      </w:pPr>
      <w:r w:rsidRPr="00F259E4">
        <w:rPr>
          <w:rFonts w:cstheme="minorHAnsi"/>
        </w:rPr>
        <w:t>In total, this is a saving for electricity consumers of $371.9 million that has been ‘left on the table’.</w:t>
      </w:r>
    </w:p>
    <w:p w14:paraId="2277C9E4" w14:textId="77777777" w:rsidR="00742906" w:rsidRPr="00F259E4" w:rsidRDefault="00742906" w:rsidP="00742906">
      <w:pPr>
        <w:rPr>
          <w:rFonts w:cstheme="minorHAnsi"/>
        </w:rPr>
      </w:pPr>
    </w:p>
    <w:tbl>
      <w:tblPr>
        <w:tblW w:w="8880" w:type="dxa"/>
        <w:tblLook w:val="04A0" w:firstRow="1" w:lastRow="0" w:firstColumn="1" w:lastColumn="0" w:noHBand="0" w:noVBand="1"/>
      </w:tblPr>
      <w:tblGrid>
        <w:gridCol w:w="1360"/>
        <w:gridCol w:w="940"/>
        <w:gridCol w:w="940"/>
        <w:gridCol w:w="940"/>
        <w:gridCol w:w="940"/>
        <w:gridCol w:w="1085"/>
        <w:gridCol w:w="1085"/>
        <w:gridCol w:w="897"/>
        <w:gridCol w:w="693"/>
      </w:tblGrid>
      <w:tr w:rsidR="00742906" w:rsidRPr="00F259E4" w14:paraId="079B21C3" w14:textId="77777777" w:rsidTr="002B4686">
        <w:trPr>
          <w:trHeight w:val="300"/>
        </w:trPr>
        <w:tc>
          <w:tcPr>
            <w:tcW w:w="1360" w:type="dxa"/>
            <w:tcBorders>
              <w:top w:val="single" w:sz="4" w:space="0" w:color="auto"/>
              <w:left w:val="single" w:sz="4" w:space="0" w:color="auto"/>
              <w:bottom w:val="nil"/>
              <w:right w:val="single" w:sz="4" w:space="0" w:color="auto"/>
            </w:tcBorders>
            <w:shd w:val="clear" w:color="auto" w:fill="auto"/>
            <w:noWrap/>
            <w:vAlign w:val="bottom"/>
            <w:hideMark/>
          </w:tcPr>
          <w:p w14:paraId="688905B2"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940" w:type="dxa"/>
            <w:tcBorders>
              <w:top w:val="single" w:sz="4" w:space="0" w:color="auto"/>
              <w:left w:val="nil"/>
              <w:bottom w:val="nil"/>
              <w:right w:val="nil"/>
            </w:tcBorders>
            <w:shd w:val="clear" w:color="auto" w:fill="auto"/>
            <w:noWrap/>
            <w:vAlign w:val="bottom"/>
            <w:hideMark/>
          </w:tcPr>
          <w:p w14:paraId="6BAC5DA5"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940" w:type="dxa"/>
            <w:tcBorders>
              <w:top w:val="single" w:sz="4" w:space="0" w:color="auto"/>
              <w:left w:val="nil"/>
              <w:bottom w:val="nil"/>
              <w:right w:val="nil"/>
            </w:tcBorders>
            <w:shd w:val="clear" w:color="auto" w:fill="auto"/>
            <w:noWrap/>
            <w:vAlign w:val="bottom"/>
            <w:hideMark/>
          </w:tcPr>
          <w:p w14:paraId="4E9176EE"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940" w:type="dxa"/>
            <w:tcBorders>
              <w:top w:val="single" w:sz="4" w:space="0" w:color="auto"/>
              <w:left w:val="nil"/>
              <w:bottom w:val="nil"/>
              <w:right w:val="nil"/>
            </w:tcBorders>
            <w:shd w:val="clear" w:color="auto" w:fill="auto"/>
            <w:noWrap/>
            <w:vAlign w:val="bottom"/>
            <w:hideMark/>
          </w:tcPr>
          <w:p w14:paraId="3D8C6932"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940" w:type="dxa"/>
            <w:tcBorders>
              <w:top w:val="single" w:sz="4" w:space="0" w:color="auto"/>
              <w:left w:val="nil"/>
              <w:bottom w:val="nil"/>
              <w:right w:val="single" w:sz="4" w:space="0" w:color="auto"/>
            </w:tcBorders>
            <w:shd w:val="clear" w:color="auto" w:fill="auto"/>
            <w:noWrap/>
            <w:vAlign w:val="bottom"/>
            <w:hideMark/>
          </w:tcPr>
          <w:p w14:paraId="4EAC69BF"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3760" w:type="dxa"/>
            <w:gridSpan w:val="4"/>
            <w:tcBorders>
              <w:top w:val="single" w:sz="4" w:space="0" w:color="auto"/>
              <w:left w:val="nil"/>
              <w:bottom w:val="nil"/>
              <w:right w:val="single" w:sz="4" w:space="0" w:color="000000"/>
            </w:tcBorders>
            <w:shd w:val="clear" w:color="auto" w:fill="auto"/>
            <w:noWrap/>
            <w:vAlign w:val="bottom"/>
            <w:hideMark/>
          </w:tcPr>
          <w:p w14:paraId="4761A246"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Per residential consumer</w:t>
            </w:r>
          </w:p>
        </w:tc>
      </w:tr>
      <w:tr w:rsidR="00742906" w:rsidRPr="00F259E4" w14:paraId="711628AA" w14:textId="77777777" w:rsidTr="002B4686">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656AF082"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940" w:type="dxa"/>
            <w:tcBorders>
              <w:top w:val="nil"/>
              <w:left w:val="nil"/>
              <w:bottom w:val="single" w:sz="4" w:space="0" w:color="auto"/>
              <w:right w:val="single" w:sz="4" w:space="0" w:color="auto"/>
            </w:tcBorders>
            <w:shd w:val="clear" w:color="auto" w:fill="auto"/>
            <w:noWrap/>
            <w:vAlign w:val="bottom"/>
            <w:hideMark/>
          </w:tcPr>
          <w:p w14:paraId="52998DAE"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2016</w:t>
            </w:r>
          </w:p>
        </w:tc>
        <w:tc>
          <w:tcPr>
            <w:tcW w:w="940" w:type="dxa"/>
            <w:tcBorders>
              <w:top w:val="nil"/>
              <w:left w:val="nil"/>
              <w:bottom w:val="single" w:sz="4" w:space="0" w:color="auto"/>
              <w:right w:val="single" w:sz="4" w:space="0" w:color="auto"/>
            </w:tcBorders>
            <w:shd w:val="clear" w:color="auto" w:fill="auto"/>
            <w:noWrap/>
            <w:vAlign w:val="bottom"/>
            <w:hideMark/>
          </w:tcPr>
          <w:p w14:paraId="67DD3FF9"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2017</w:t>
            </w:r>
          </w:p>
        </w:tc>
        <w:tc>
          <w:tcPr>
            <w:tcW w:w="1880" w:type="dxa"/>
            <w:gridSpan w:val="2"/>
            <w:tcBorders>
              <w:top w:val="nil"/>
              <w:left w:val="nil"/>
              <w:bottom w:val="single" w:sz="4" w:space="0" w:color="auto"/>
              <w:right w:val="single" w:sz="4" w:space="0" w:color="000000"/>
            </w:tcBorders>
            <w:shd w:val="clear" w:color="auto" w:fill="auto"/>
            <w:noWrap/>
            <w:vAlign w:val="bottom"/>
            <w:hideMark/>
          </w:tcPr>
          <w:p w14:paraId="2DEC25A6"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Increase</w:t>
            </w:r>
          </w:p>
        </w:tc>
        <w:tc>
          <w:tcPr>
            <w:tcW w:w="1085" w:type="dxa"/>
            <w:tcBorders>
              <w:top w:val="nil"/>
              <w:left w:val="nil"/>
              <w:bottom w:val="single" w:sz="4" w:space="0" w:color="auto"/>
              <w:right w:val="single" w:sz="4" w:space="0" w:color="auto"/>
            </w:tcBorders>
            <w:shd w:val="clear" w:color="auto" w:fill="auto"/>
            <w:noWrap/>
            <w:vAlign w:val="bottom"/>
            <w:hideMark/>
          </w:tcPr>
          <w:p w14:paraId="576D2440"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2016</w:t>
            </w:r>
          </w:p>
        </w:tc>
        <w:tc>
          <w:tcPr>
            <w:tcW w:w="1085" w:type="dxa"/>
            <w:tcBorders>
              <w:top w:val="nil"/>
              <w:left w:val="nil"/>
              <w:bottom w:val="single" w:sz="4" w:space="0" w:color="auto"/>
              <w:right w:val="single" w:sz="4" w:space="0" w:color="auto"/>
            </w:tcBorders>
            <w:shd w:val="clear" w:color="auto" w:fill="auto"/>
            <w:noWrap/>
            <w:vAlign w:val="bottom"/>
            <w:hideMark/>
          </w:tcPr>
          <w:p w14:paraId="11148804"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2017</w:t>
            </w:r>
          </w:p>
        </w:tc>
        <w:tc>
          <w:tcPr>
            <w:tcW w:w="1590" w:type="dxa"/>
            <w:gridSpan w:val="2"/>
            <w:tcBorders>
              <w:top w:val="nil"/>
              <w:left w:val="nil"/>
              <w:bottom w:val="single" w:sz="4" w:space="0" w:color="auto"/>
              <w:right w:val="single" w:sz="4" w:space="0" w:color="000000"/>
            </w:tcBorders>
            <w:shd w:val="clear" w:color="auto" w:fill="auto"/>
            <w:noWrap/>
            <w:vAlign w:val="bottom"/>
            <w:hideMark/>
          </w:tcPr>
          <w:p w14:paraId="5BB2AFFB"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Increase</w:t>
            </w:r>
          </w:p>
        </w:tc>
      </w:tr>
      <w:tr w:rsidR="00742906" w:rsidRPr="00F259E4" w14:paraId="6C36DF87" w14:textId="77777777" w:rsidTr="002B4686">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7A2304F4"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940" w:type="dxa"/>
            <w:tcBorders>
              <w:top w:val="nil"/>
              <w:left w:val="nil"/>
              <w:bottom w:val="nil"/>
              <w:right w:val="single" w:sz="4" w:space="0" w:color="auto"/>
            </w:tcBorders>
            <w:shd w:val="clear" w:color="auto" w:fill="auto"/>
            <w:noWrap/>
            <w:vAlign w:val="bottom"/>
            <w:hideMark/>
          </w:tcPr>
          <w:p w14:paraId="2C8206F1"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$m</w:t>
            </w:r>
          </w:p>
        </w:tc>
        <w:tc>
          <w:tcPr>
            <w:tcW w:w="940" w:type="dxa"/>
            <w:tcBorders>
              <w:top w:val="nil"/>
              <w:left w:val="nil"/>
              <w:bottom w:val="nil"/>
              <w:right w:val="single" w:sz="4" w:space="0" w:color="auto"/>
            </w:tcBorders>
            <w:shd w:val="clear" w:color="auto" w:fill="auto"/>
            <w:noWrap/>
            <w:vAlign w:val="bottom"/>
            <w:hideMark/>
          </w:tcPr>
          <w:p w14:paraId="13512099"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$m</w:t>
            </w:r>
          </w:p>
        </w:tc>
        <w:tc>
          <w:tcPr>
            <w:tcW w:w="940" w:type="dxa"/>
            <w:tcBorders>
              <w:top w:val="nil"/>
              <w:left w:val="nil"/>
              <w:bottom w:val="nil"/>
              <w:right w:val="single" w:sz="4" w:space="0" w:color="auto"/>
            </w:tcBorders>
            <w:shd w:val="clear" w:color="auto" w:fill="auto"/>
            <w:noWrap/>
            <w:vAlign w:val="bottom"/>
            <w:hideMark/>
          </w:tcPr>
          <w:p w14:paraId="2A5C4747"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$m</w:t>
            </w:r>
          </w:p>
        </w:tc>
        <w:tc>
          <w:tcPr>
            <w:tcW w:w="940" w:type="dxa"/>
            <w:tcBorders>
              <w:top w:val="nil"/>
              <w:left w:val="nil"/>
              <w:bottom w:val="nil"/>
              <w:right w:val="single" w:sz="4" w:space="0" w:color="auto"/>
            </w:tcBorders>
            <w:shd w:val="clear" w:color="auto" w:fill="auto"/>
            <w:noWrap/>
            <w:vAlign w:val="bottom"/>
            <w:hideMark/>
          </w:tcPr>
          <w:p w14:paraId="31274363"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w:t>
            </w:r>
          </w:p>
        </w:tc>
        <w:tc>
          <w:tcPr>
            <w:tcW w:w="1085" w:type="dxa"/>
            <w:tcBorders>
              <w:top w:val="nil"/>
              <w:left w:val="nil"/>
              <w:bottom w:val="nil"/>
              <w:right w:val="single" w:sz="4" w:space="0" w:color="auto"/>
            </w:tcBorders>
            <w:shd w:val="clear" w:color="auto" w:fill="auto"/>
            <w:noWrap/>
            <w:vAlign w:val="bottom"/>
            <w:hideMark/>
          </w:tcPr>
          <w:p w14:paraId="4A510993"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w:t>
            </w:r>
          </w:p>
        </w:tc>
        <w:tc>
          <w:tcPr>
            <w:tcW w:w="1085" w:type="dxa"/>
            <w:tcBorders>
              <w:top w:val="nil"/>
              <w:left w:val="nil"/>
              <w:bottom w:val="nil"/>
              <w:right w:val="single" w:sz="4" w:space="0" w:color="auto"/>
            </w:tcBorders>
            <w:shd w:val="clear" w:color="auto" w:fill="auto"/>
            <w:noWrap/>
            <w:vAlign w:val="bottom"/>
            <w:hideMark/>
          </w:tcPr>
          <w:p w14:paraId="21E939BA"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w:t>
            </w:r>
          </w:p>
        </w:tc>
        <w:tc>
          <w:tcPr>
            <w:tcW w:w="897" w:type="dxa"/>
            <w:tcBorders>
              <w:top w:val="nil"/>
              <w:left w:val="nil"/>
              <w:bottom w:val="nil"/>
              <w:right w:val="single" w:sz="4" w:space="0" w:color="auto"/>
            </w:tcBorders>
            <w:shd w:val="clear" w:color="auto" w:fill="auto"/>
            <w:noWrap/>
            <w:vAlign w:val="bottom"/>
            <w:hideMark/>
          </w:tcPr>
          <w:p w14:paraId="0B584893"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w:t>
            </w:r>
          </w:p>
        </w:tc>
        <w:tc>
          <w:tcPr>
            <w:tcW w:w="693" w:type="dxa"/>
            <w:tcBorders>
              <w:top w:val="nil"/>
              <w:left w:val="nil"/>
              <w:bottom w:val="nil"/>
              <w:right w:val="single" w:sz="4" w:space="0" w:color="auto"/>
            </w:tcBorders>
            <w:shd w:val="clear" w:color="auto" w:fill="auto"/>
            <w:noWrap/>
            <w:vAlign w:val="bottom"/>
            <w:hideMark/>
          </w:tcPr>
          <w:p w14:paraId="54E4E520" w14:textId="77777777" w:rsidR="00742906" w:rsidRPr="00F259E4" w:rsidRDefault="00742906" w:rsidP="002B4686">
            <w:pPr>
              <w:spacing w:after="0" w:line="240" w:lineRule="auto"/>
              <w:jc w:val="center"/>
              <w:rPr>
                <w:rFonts w:eastAsia="Times New Roman" w:cstheme="minorHAnsi"/>
                <w:color w:val="000000"/>
                <w:lang w:eastAsia="en-NZ"/>
              </w:rPr>
            </w:pPr>
            <w:r w:rsidRPr="00F259E4">
              <w:rPr>
                <w:rFonts w:eastAsia="Times New Roman" w:cstheme="minorHAnsi"/>
                <w:color w:val="000000"/>
                <w:lang w:eastAsia="en-NZ"/>
              </w:rPr>
              <w:t>%</w:t>
            </w:r>
          </w:p>
        </w:tc>
      </w:tr>
      <w:tr w:rsidR="00742906" w:rsidRPr="00F259E4" w14:paraId="53FE2E2F" w14:textId="77777777" w:rsidTr="002B4686">
        <w:trPr>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102A3542"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North Island</w:t>
            </w:r>
          </w:p>
        </w:tc>
        <w:tc>
          <w:tcPr>
            <w:tcW w:w="940" w:type="dxa"/>
            <w:tcBorders>
              <w:top w:val="nil"/>
              <w:left w:val="nil"/>
              <w:bottom w:val="nil"/>
              <w:right w:val="single" w:sz="4" w:space="0" w:color="auto"/>
            </w:tcBorders>
            <w:shd w:val="clear" w:color="auto" w:fill="auto"/>
            <w:noWrap/>
            <w:vAlign w:val="bottom"/>
            <w:hideMark/>
          </w:tcPr>
          <w:p w14:paraId="3E49D827"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207.3</w:t>
            </w:r>
          </w:p>
        </w:tc>
        <w:tc>
          <w:tcPr>
            <w:tcW w:w="940" w:type="dxa"/>
            <w:tcBorders>
              <w:top w:val="nil"/>
              <w:left w:val="nil"/>
              <w:bottom w:val="nil"/>
              <w:right w:val="single" w:sz="4" w:space="0" w:color="auto"/>
            </w:tcBorders>
            <w:shd w:val="clear" w:color="auto" w:fill="auto"/>
            <w:noWrap/>
            <w:vAlign w:val="bottom"/>
            <w:hideMark/>
          </w:tcPr>
          <w:p w14:paraId="31F62C55"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260.4</w:t>
            </w:r>
          </w:p>
        </w:tc>
        <w:tc>
          <w:tcPr>
            <w:tcW w:w="940" w:type="dxa"/>
            <w:tcBorders>
              <w:top w:val="nil"/>
              <w:left w:val="nil"/>
              <w:bottom w:val="nil"/>
              <w:right w:val="single" w:sz="4" w:space="0" w:color="auto"/>
            </w:tcBorders>
            <w:shd w:val="clear" w:color="auto" w:fill="auto"/>
            <w:noWrap/>
            <w:vAlign w:val="bottom"/>
            <w:hideMark/>
          </w:tcPr>
          <w:p w14:paraId="4C0F7C64"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53.1</w:t>
            </w:r>
          </w:p>
        </w:tc>
        <w:tc>
          <w:tcPr>
            <w:tcW w:w="940" w:type="dxa"/>
            <w:tcBorders>
              <w:top w:val="nil"/>
              <w:left w:val="nil"/>
              <w:bottom w:val="nil"/>
              <w:right w:val="single" w:sz="4" w:space="0" w:color="auto"/>
            </w:tcBorders>
            <w:shd w:val="clear" w:color="auto" w:fill="auto"/>
            <w:noWrap/>
            <w:vAlign w:val="bottom"/>
            <w:hideMark/>
          </w:tcPr>
          <w:p w14:paraId="0923D50F"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26%</w:t>
            </w:r>
          </w:p>
        </w:tc>
        <w:tc>
          <w:tcPr>
            <w:tcW w:w="1085" w:type="dxa"/>
            <w:tcBorders>
              <w:top w:val="nil"/>
              <w:left w:val="nil"/>
              <w:bottom w:val="nil"/>
              <w:right w:val="single" w:sz="4" w:space="0" w:color="auto"/>
            </w:tcBorders>
            <w:shd w:val="clear" w:color="auto" w:fill="auto"/>
            <w:noWrap/>
            <w:vAlign w:val="bottom"/>
            <w:hideMark/>
          </w:tcPr>
          <w:p w14:paraId="3EB153ED"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157.52</w:t>
            </w:r>
          </w:p>
        </w:tc>
        <w:tc>
          <w:tcPr>
            <w:tcW w:w="1085" w:type="dxa"/>
            <w:tcBorders>
              <w:top w:val="nil"/>
              <w:left w:val="nil"/>
              <w:bottom w:val="nil"/>
              <w:right w:val="single" w:sz="4" w:space="0" w:color="auto"/>
            </w:tcBorders>
            <w:shd w:val="clear" w:color="auto" w:fill="auto"/>
            <w:noWrap/>
            <w:vAlign w:val="bottom"/>
            <w:hideMark/>
          </w:tcPr>
          <w:p w14:paraId="33ED7CC5"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195.57</w:t>
            </w:r>
          </w:p>
        </w:tc>
        <w:tc>
          <w:tcPr>
            <w:tcW w:w="897" w:type="dxa"/>
            <w:tcBorders>
              <w:top w:val="nil"/>
              <w:left w:val="nil"/>
              <w:bottom w:val="nil"/>
              <w:right w:val="single" w:sz="4" w:space="0" w:color="auto"/>
            </w:tcBorders>
            <w:shd w:val="clear" w:color="auto" w:fill="auto"/>
            <w:noWrap/>
            <w:vAlign w:val="bottom"/>
            <w:hideMark/>
          </w:tcPr>
          <w:p w14:paraId="38D86AF5"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38.05</w:t>
            </w:r>
          </w:p>
        </w:tc>
        <w:tc>
          <w:tcPr>
            <w:tcW w:w="693" w:type="dxa"/>
            <w:tcBorders>
              <w:top w:val="nil"/>
              <w:left w:val="nil"/>
              <w:bottom w:val="nil"/>
              <w:right w:val="single" w:sz="4" w:space="0" w:color="auto"/>
            </w:tcBorders>
            <w:shd w:val="clear" w:color="auto" w:fill="auto"/>
            <w:noWrap/>
            <w:vAlign w:val="bottom"/>
            <w:hideMark/>
          </w:tcPr>
          <w:p w14:paraId="618C073A"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24%</w:t>
            </w:r>
          </w:p>
        </w:tc>
      </w:tr>
      <w:tr w:rsidR="00742906" w:rsidRPr="00F259E4" w14:paraId="2CFDF844" w14:textId="77777777" w:rsidTr="002B468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93EB36A"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South Island</w:t>
            </w:r>
          </w:p>
        </w:tc>
        <w:tc>
          <w:tcPr>
            <w:tcW w:w="940" w:type="dxa"/>
            <w:tcBorders>
              <w:top w:val="nil"/>
              <w:left w:val="nil"/>
              <w:bottom w:val="single" w:sz="4" w:space="0" w:color="auto"/>
              <w:right w:val="single" w:sz="4" w:space="0" w:color="auto"/>
            </w:tcBorders>
            <w:shd w:val="clear" w:color="auto" w:fill="auto"/>
            <w:noWrap/>
            <w:vAlign w:val="bottom"/>
            <w:hideMark/>
          </w:tcPr>
          <w:p w14:paraId="5575CA64"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83.6</w:t>
            </w:r>
          </w:p>
        </w:tc>
        <w:tc>
          <w:tcPr>
            <w:tcW w:w="940" w:type="dxa"/>
            <w:tcBorders>
              <w:top w:val="nil"/>
              <w:left w:val="nil"/>
              <w:bottom w:val="single" w:sz="4" w:space="0" w:color="auto"/>
              <w:right w:val="single" w:sz="4" w:space="0" w:color="auto"/>
            </w:tcBorders>
            <w:shd w:val="clear" w:color="auto" w:fill="auto"/>
            <w:noWrap/>
            <w:vAlign w:val="bottom"/>
            <w:hideMark/>
          </w:tcPr>
          <w:p w14:paraId="22E232D9"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111.5</w:t>
            </w:r>
          </w:p>
        </w:tc>
        <w:tc>
          <w:tcPr>
            <w:tcW w:w="940" w:type="dxa"/>
            <w:tcBorders>
              <w:top w:val="nil"/>
              <w:left w:val="nil"/>
              <w:bottom w:val="single" w:sz="4" w:space="0" w:color="auto"/>
              <w:right w:val="single" w:sz="4" w:space="0" w:color="auto"/>
            </w:tcBorders>
            <w:shd w:val="clear" w:color="auto" w:fill="auto"/>
            <w:noWrap/>
            <w:vAlign w:val="bottom"/>
            <w:hideMark/>
          </w:tcPr>
          <w:p w14:paraId="5AC58479"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27.9</w:t>
            </w:r>
          </w:p>
        </w:tc>
        <w:tc>
          <w:tcPr>
            <w:tcW w:w="940" w:type="dxa"/>
            <w:tcBorders>
              <w:top w:val="nil"/>
              <w:left w:val="nil"/>
              <w:bottom w:val="single" w:sz="4" w:space="0" w:color="auto"/>
              <w:right w:val="single" w:sz="4" w:space="0" w:color="auto"/>
            </w:tcBorders>
            <w:shd w:val="clear" w:color="auto" w:fill="auto"/>
            <w:noWrap/>
            <w:vAlign w:val="bottom"/>
            <w:hideMark/>
          </w:tcPr>
          <w:p w14:paraId="66780765"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33%</w:t>
            </w:r>
          </w:p>
        </w:tc>
        <w:tc>
          <w:tcPr>
            <w:tcW w:w="1085" w:type="dxa"/>
            <w:tcBorders>
              <w:top w:val="nil"/>
              <w:left w:val="nil"/>
              <w:bottom w:val="nil"/>
              <w:right w:val="single" w:sz="4" w:space="0" w:color="auto"/>
            </w:tcBorders>
            <w:shd w:val="clear" w:color="auto" w:fill="auto"/>
            <w:noWrap/>
            <w:vAlign w:val="bottom"/>
            <w:hideMark/>
          </w:tcPr>
          <w:p w14:paraId="25C0AE0C"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184.38</w:t>
            </w:r>
          </w:p>
        </w:tc>
        <w:tc>
          <w:tcPr>
            <w:tcW w:w="1085" w:type="dxa"/>
            <w:tcBorders>
              <w:top w:val="nil"/>
              <w:left w:val="nil"/>
              <w:bottom w:val="nil"/>
              <w:right w:val="single" w:sz="4" w:space="0" w:color="auto"/>
            </w:tcBorders>
            <w:shd w:val="clear" w:color="auto" w:fill="auto"/>
            <w:noWrap/>
            <w:vAlign w:val="bottom"/>
            <w:hideMark/>
          </w:tcPr>
          <w:p w14:paraId="6BE1BB9A"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242.18</w:t>
            </w:r>
          </w:p>
        </w:tc>
        <w:tc>
          <w:tcPr>
            <w:tcW w:w="897" w:type="dxa"/>
            <w:tcBorders>
              <w:top w:val="nil"/>
              <w:left w:val="nil"/>
              <w:bottom w:val="nil"/>
              <w:right w:val="single" w:sz="4" w:space="0" w:color="auto"/>
            </w:tcBorders>
            <w:shd w:val="clear" w:color="auto" w:fill="auto"/>
            <w:noWrap/>
            <w:vAlign w:val="bottom"/>
            <w:hideMark/>
          </w:tcPr>
          <w:p w14:paraId="4DE6FA75"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57.80</w:t>
            </w:r>
          </w:p>
        </w:tc>
        <w:tc>
          <w:tcPr>
            <w:tcW w:w="693" w:type="dxa"/>
            <w:tcBorders>
              <w:top w:val="nil"/>
              <w:left w:val="nil"/>
              <w:bottom w:val="nil"/>
              <w:right w:val="single" w:sz="4" w:space="0" w:color="auto"/>
            </w:tcBorders>
            <w:shd w:val="clear" w:color="auto" w:fill="auto"/>
            <w:noWrap/>
            <w:vAlign w:val="bottom"/>
            <w:hideMark/>
          </w:tcPr>
          <w:p w14:paraId="3123298E"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31%</w:t>
            </w:r>
          </w:p>
        </w:tc>
      </w:tr>
      <w:tr w:rsidR="00742906" w:rsidRPr="00F259E4" w14:paraId="3BBCAE62" w14:textId="77777777" w:rsidTr="002B468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62A0DB7"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Total</w:t>
            </w:r>
          </w:p>
        </w:tc>
        <w:tc>
          <w:tcPr>
            <w:tcW w:w="940" w:type="dxa"/>
            <w:tcBorders>
              <w:top w:val="nil"/>
              <w:left w:val="nil"/>
              <w:bottom w:val="single" w:sz="4" w:space="0" w:color="auto"/>
              <w:right w:val="single" w:sz="4" w:space="0" w:color="auto"/>
            </w:tcBorders>
            <w:shd w:val="clear" w:color="auto" w:fill="auto"/>
            <w:noWrap/>
            <w:vAlign w:val="bottom"/>
            <w:hideMark/>
          </w:tcPr>
          <w:p w14:paraId="365CE41F"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290.9</w:t>
            </w:r>
          </w:p>
        </w:tc>
        <w:tc>
          <w:tcPr>
            <w:tcW w:w="940" w:type="dxa"/>
            <w:tcBorders>
              <w:top w:val="nil"/>
              <w:left w:val="nil"/>
              <w:bottom w:val="single" w:sz="4" w:space="0" w:color="auto"/>
              <w:right w:val="single" w:sz="4" w:space="0" w:color="auto"/>
            </w:tcBorders>
            <w:shd w:val="clear" w:color="auto" w:fill="auto"/>
            <w:noWrap/>
            <w:vAlign w:val="bottom"/>
            <w:hideMark/>
          </w:tcPr>
          <w:p w14:paraId="24A84D68"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371.9</w:t>
            </w:r>
          </w:p>
        </w:tc>
        <w:tc>
          <w:tcPr>
            <w:tcW w:w="940" w:type="dxa"/>
            <w:tcBorders>
              <w:top w:val="nil"/>
              <w:left w:val="nil"/>
              <w:bottom w:val="single" w:sz="4" w:space="0" w:color="auto"/>
              <w:right w:val="single" w:sz="4" w:space="0" w:color="auto"/>
            </w:tcBorders>
            <w:shd w:val="clear" w:color="auto" w:fill="auto"/>
            <w:noWrap/>
            <w:vAlign w:val="bottom"/>
            <w:hideMark/>
          </w:tcPr>
          <w:p w14:paraId="67AE67F2"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81.0</w:t>
            </w:r>
          </w:p>
        </w:tc>
        <w:tc>
          <w:tcPr>
            <w:tcW w:w="940" w:type="dxa"/>
            <w:tcBorders>
              <w:top w:val="nil"/>
              <w:left w:val="nil"/>
              <w:bottom w:val="single" w:sz="4" w:space="0" w:color="auto"/>
              <w:right w:val="single" w:sz="4" w:space="0" w:color="auto"/>
            </w:tcBorders>
            <w:shd w:val="clear" w:color="auto" w:fill="auto"/>
            <w:noWrap/>
            <w:vAlign w:val="bottom"/>
            <w:hideMark/>
          </w:tcPr>
          <w:p w14:paraId="28D68E99" w14:textId="77777777" w:rsidR="00742906" w:rsidRPr="00F259E4" w:rsidRDefault="00742906" w:rsidP="002B4686">
            <w:pPr>
              <w:spacing w:after="0" w:line="240" w:lineRule="auto"/>
              <w:jc w:val="right"/>
              <w:rPr>
                <w:rFonts w:eastAsia="Times New Roman" w:cstheme="minorHAnsi"/>
                <w:color w:val="000000"/>
                <w:lang w:eastAsia="en-NZ"/>
              </w:rPr>
            </w:pPr>
            <w:r w:rsidRPr="00F259E4">
              <w:rPr>
                <w:rFonts w:eastAsia="Times New Roman" w:cstheme="minorHAnsi"/>
                <w:color w:val="000000"/>
                <w:lang w:eastAsia="en-NZ"/>
              </w:rPr>
              <w:t>28%</w:t>
            </w:r>
          </w:p>
        </w:tc>
        <w:tc>
          <w:tcPr>
            <w:tcW w:w="1085" w:type="dxa"/>
            <w:tcBorders>
              <w:top w:val="nil"/>
              <w:left w:val="nil"/>
              <w:bottom w:val="single" w:sz="4" w:space="0" w:color="auto"/>
              <w:right w:val="single" w:sz="4" w:space="0" w:color="auto"/>
            </w:tcBorders>
            <w:shd w:val="clear" w:color="auto" w:fill="auto"/>
            <w:noWrap/>
            <w:vAlign w:val="bottom"/>
            <w:hideMark/>
          </w:tcPr>
          <w:p w14:paraId="4A295BB3"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1085" w:type="dxa"/>
            <w:tcBorders>
              <w:top w:val="nil"/>
              <w:left w:val="nil"/>
              <w:bottom w:val="single" w:sz="4" w:space="0" w:color="auto"/>
              <w:right w:val="single" w:sz="4" w:space="0" w:color="auto"/>
            </w:tcBorders>
            <w:shd w:val="clear" w:color="auto" w:fill="auto"/>
            <w:noWrap/>
            <w:vAlign w:val="bottom"/>
            <w:hideMark/>
          </w:tcPr>
          <w:p w14:paraId="2FAFACE2"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897" w:type="dxa"/>
            <w:tcBorders>
              <w:top w:val="nil"/>
              <w:left w:val="nil"/>
              <w:bottom w:val="single" w:sz="4" w:space="0" w:color="auto"/>
              <w:right w:val="single" w:sz="4" w:space="0" w:color="auto"/>
            </w:tcBorders>
            <w:shd w:val="clear" w:color="auto" w:fill="auto"/>
            <w:noWrap/>
            <w:vAlign w:val="bottom"/>
            <w:hideMark/>
          </w:tcPr>
          <w:p w14:paraId="01881F31"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c>
          <w:tcPr>
            <w:tcW w:w="693" w:type="dxa"/>
            <w:tcBorders>
              <w:top w:val="nil"/>
              <w:left w:val="nil"/>
              <w:bottom w:val="single" w:sz="4" w:space="0" w:color="auto"/>
              <w:right w:val="single" w:sz="4" w:space="0" w:color="auto"/>
            </w:tcBorders>
            <w:shd w:val="clear" w:color="auto" w:fill="auto"/>
            <w:noWrap/>
            <w:vAlign w:val="bottom"/>
            <w:hideMark/>
          </w:tcPr>
          <w:p w14:paraId="5E213A0B" w14:textId="77777777" w:rsidR="00742906" w:rsidRPr="00F259E4" w:rsidRDefault="00742906" w:rsidP="002B4686">
            <w:pPr>
              <w:spacing w:after="0" w:line="240" w:lineRule="auto"/>
              <w:rPr>
                <w:rFonts w:eastAsia="Times New Roman" w:cstheme="minorHAnsi"/>
                <w:color w:val="000000"/>
                <w:lang w:eastAsia="en-NZ"/>
              </w:rPr>
            </w:pPr>
            <w:r w:rsidRPr="00F259E4">
              <w:rPr>
                <w:rFonts w:eastAsia="Times New Roman" w:cstheme="minorHAnsi"/>
                <w:color w:val="000000"/>
                <w:lang w:eastAsia="en-NZ"/>
              </w:rPr>
              <w:t> </w:t>
            </w:r>
          </w:p>
        </w:tc>
      </w:tr>
    </w:tbl>
    <w:p w14:paraId="11BB7075" w14:textId="05ED7053" w:rsidR="00742906" w:rsidRPr="00EF4EE6" w:rsidRDefault="00742906" w:rsidP="001B0D36">
      <w:pPr>
        <w:spacing w:before="240"/>
        <w:rPr>
          <w:rFonts w:cstheme="minorHAnsi"/>
          <w:sz w:val="19"/>
          <w:szCs w:val="19"/>
        </w:rPr>
      </w:pPr>
      <w:r w:rsidRPr="00EF4EE6">
        <w:rPr>
          <w:rFonts w:cstheme="minorHAnsi"/>
          <w:sz w:val="19"/>
          <w:szCs w:val="19"/>
        </w:rPr>
        <w:t>Source: Electricity Authority website</w:t>
      </w:r>
    </w:p>
    <w:p w14:paraId="5ED5EB4E" w14:textId="77777777" w:rsidR="00742906" w:rsidRPr="00F259E4" w:rsidRDefault="00742906" w:rsidP="00273087">
      <w:pPr>
        <w:pStyle w:val="ListParagraph"/>
        <w:numPr>
          <w:ilvl w:val="0"/>
          <w:numId w:val="41"/>
        </w:numPr>
        <w:ind w:left="851" w:hanging="425"/>
        <w:contextualSpacing w:val="0"/>
        <w:rPr>
          <w:rFonts w:cstheme="minorHAnsi"/>
        </w:rPr>
      </w:pPr>
      <w:r w:rsidRPr="00F259E4">
        <w:rPr>
          <w:rFonts w:cstheme="minorHAnsi"/>
        </w:rPr>
        <w:t xml:space="preserve">More concerning, the value ‘on the table’ increased 28% or $81 million in 2017, compared with 2016. </w:t>
      </w:r>
    </w:p>
    <w:p w14:paraId="4FB0EF05" w14:textId="77777777" w:rsidR="00742906" w:rsidRPr="00F259E4" w:rsidRDefault="00742906" w:rsidP="00273087">
      <w:pPr>
        <w:pStyle w:val="ListParagraph"/>
        <w:numPr>
          <w:ilvl w:val="0"/>
          <w:numId w:val="41"/>
        </w:numPr>
        <w:ind w:left="851" w:hanging="425"/>
        <w:contextualSpacing w:val="0"/>
        <w:rPr>
          <w:rFonts w:cstheme="minorHAnsi"/>
        </w:rPr>
      </w:pPr>
      <w:r w:rsidRPr="00F259E4">
        <w:rPr>
          <w:rFonts w:cstheme="minorHAnsi"/>
          <w:lang w:val="en-US"/>
        </w:rPr>
        <w:t>In a highly competitive market, the savings on offer to consumers should be significantly reducing over time, not increasing.</w:t>
      </w:r>
    </w:p>
    <w:p w14:paraId="51CE6AEE" w14:textId="40FC29EA" w:rsidR="00742906" w:rsidRPr="00F259E4" w:rsidRDefault="00742906" w:rsidP="00273087">
      <w:pPr>
        <w:pStyle w:val="ListParagraph"/>
        <w:numPr>
          <w:ilvl w:val="0"/>
          <w:numId w:val="41"/>
        </w:numPr>
        <w:ind w:left="851" w:hanging="425"/>
        <w:contextualSpacing w:val="0"/>
        <w:rPr>
          <w:rFonts w:cstheme="minorHAnsi"/>
          <w:lang w:val="en-US"/>
        </w:rPr>
      </w:pPr>
      <w:r w:rsidRPr="00F259E4">
        <w:rPr>
          <w:rFonts w:cstheme="minorHAnsi"/>
          <w:lang w:val="en-US"/>
        </w:rPr>
        <w:t>According to Energyclub</w:t>
      </w:r>
      <w:r w:rsidRPr="00F259E4">
        <w:rPr>
          <w:rStyle w:val="FootnoteReference"/>
          <w:rFonts w:cstheme="minorHAnsi"/>
          <w:lang w:val="en-US"/>
        </w:rPr>
        <w:footnoteReference w:id="18"/>
      </w:r>
      <w:r w:rsidRPr="00F259E4">
        <w:rPr>
          <w:rFonts w:cstheme="minorHAnsi"/>
          <w:lang w:val="en-US"/>
        </w:rPr>
        <w:t xml:space="preserve">, the increase in potential savings indicates an “increased industry profit pool” versus the previous year, which has seen significant </w:t>
      </w:r>
      <w:r w:rsidR="007B43E8">
        <w:rPr>
          <w:rFonts w:cstheme="minorHAnsi"/>
          <w:lang w:val="en-US"/>
        </w:rPr>
        <w:t>“</w:t>
      </w:r>
      <w:r w:rsidRPr="00F259E4">
        <w:rPr>
          <w:rFonts w:cstheme="minorHAnsi"/>
          <w:lang w:val="en-US"/>
        </w:rPr>
        <w:t>hidden</w:t>
      </w:r>
      <w:r w:rsidR="007B43E8">
        <w:rPr>
          <w:rFonts w:cstheme="minorHAnsi"/>
          <w:lang w:val="en-US"/>
        </w:rPr>
        <w:t>”</w:t>
      </w:r>
      <w:r w:rsidRPr="00F259E4">
        <w:rPr>
          <w:rFonts w:cstheme="minorHAnsi"/>
          <w:lang w:val="en-US"/>
        </w:rPr>
        <w:t xml:space="preserve"> incumbent price increases to their non-contracted customer bases. </w:t>
      </w:r>
    </w:p>
    <w:p w14:paraId="76E91DAD" w14:textId="77777777" w:rsidR="00742906" w:rsidRPr="00F259E4" w:rsidRDefault="00742906" w:rsidP="00273087">
      <w:pPr>
        <w:pStyle w:val="ListParagraph"/>
        <w:numPr>
          <w:ilvl w:val="0"/>
          <w:numId w:val="41"/>
        </w:numPr>
        <w:ind w:left="851" w:hanging="425"/>
        <w:contextualSpacing w:val="0"/>
        <w:rPr>
          <w:rFonts w:cstheme="minorHAnsi"/>
          <w:lang w:val="en-US"/>
        </w:rPr>
      </w:pPr>
      <w:r w:rsidRPr="00F259E4">
        <w:rPr>
          <w:rFonts w:cstheme="minorHAnsi"/>
          <w:lang w:val="en-US"/>
        </w:rPr>
        <w:t xml:space="preserve">This profit pool is ‘owned’ by the incumbent gentailers with nearly 90% of households under their supply.  </w:t>
      </w:r>
    </w:p>
    <w:p w14:paraId="6824614B" w14:textId="7C8984C3" w:rsidR="00742906" w:rsidRPr="00F259E4" w:rsidRDefault="00742906" w:rsidP="00273087">
      <w:pPr>
        <w:pStyle w:val="ListParagraph"/>
        <w:numPr>
          <w:ilvl w:val="0"/>
          <w:numId w:val="41"/>
        </w:numPr>
        <w:ind w:left="851" w:hanging="425"/>
        <w:contextualSpacing w:val="0"/>
        <w:rPr>
          <w:rFonts w:cstheme="minorHAnsi"/>
          <w:lang w:val="en-US"/>
        </w:rPr>
      </w:pPr>
      <w:r w:rsidRPr="00F259E4">
        <w:rPr>
          <w:rFonts w:cstheme="minorHAnsi"/>
          <w:lang w:val="en-US"/>
        </w:rPr>
        <w:t xml:space="preserve">The major retailers might attribute this 28% savings increase on distribution companies increasing charges, but the underlying data doesn’t support this.  </w:t>
      </w:r>
    </w:p>
    <w:p w14:paraId="56B5665E" w14:textId="703A28F4" w:rsidR="00742906" w:rsidRPr="00F259E4" w:rsidRDefault="00742906" w:rsidP="00273087">
      <w:pPr>
        <w:pStyle w:val="ListParagraph"/>
        <w:numPr>
          <w:ilvl w:val="0"/>
          <w:numId w:val="41"/>
        </w:numPr>
        <w:ind w:left="851" w:hanging="425"/>
        <w:contextualSpacing w:val="0"/>
        <w:rPr>
          <w:rFonts w:cstheme="minorHAnsi"/>
        </w:rPr>
      </w:pPr>
      <w:r w:rsidRPr="00F259E4">
        <w:rPr>
          <w:rFonts w:cstheme="minorHAnsi"/>
          <w:lang w:val="en-US"/>
        </w:rPr>
        <w:t>All retailers have experienced the same network company increases and hence</w:t>
      </w:r>
      <w:r w:rsidR="00671D60">
        <w:rPr>
          <w:rFonts w:cstheme="minorHAnsi"/>
          <w:lang w:val="en-US"/>
        </w:rPr>
        <w:t>,</w:t>
      </w:r>
      <w:r w:rsidRPr="00F259E4">
        <w:rPr>
          <w:rFonts w:cstheme="minorHAnsi"/>
          <w:lang w:val="en-US"/>
        </w:rPr>
        <w:t xml:space="preserve"> in a competitive market</w:t>
      </w:r>
      <w:r w:rsidR="00671D60">
        <w:rPr>
          <w:rFonts w:cstheme="minorHAnsi"/>
          <w:lang w:val="en-US"/>
        </w:rPr>
        <w:t>,</w:t>
      </w:r>
      <w:r w:rsidRPr="00F259E4">
        <w:rPr>
          <w:rFonts w:cstheme="minorHAnsi"/>
          <w:lang w:val="en-US"/>
        </w:rPr>
        <w:t xml:space="preserve"> the savings available should be relatively similar, or less, and not an overall 28% increase. </w:t>
      </w:r>
    </w:p>
    <w:p w14:paraId="0ECEBD79" w14:textId="4F2A6A2D" w:rsidR="00742906" w:rsidRPr="001F098C" w:rsidRDefault="00742906" w:rsidP="00273087">
      <w:pPr>
        <w:pStyle w:val="ListParagraph"/>
        <w:numPr>
          <w:ilvl w:val="0"/>
          <w:numId w:val="41"/>
        </w:numPr>
        <w:ind w:left="851" w:hanging="425"/>
        <w:rPr>
          <w:rFonts w:cstheme="minorHAnsi"/>
        </w:rPr>
      </w:pPr>
      <w:r w:rsidRPr="00F259E4">
        <w:rPr>
          <w:rFonts w:cstheme="minorHAnsi"/>
        </w:rPr>
        <w:t xml:space="preserve">The following map shows residential average savings by network area. The number of electricity retailers in each network area does not appear to be correlated with the savings residential consumers could make in each </w:t>
      </w:r>
      <w:r w:rsidRPr="001F098C">
        <w:rPr>
          <w:rFonts w:cstheme="minorHAnsi"/>
        </w:rPr>
        <w:t>network area.</w:t>
      </w:r>
    </w:p>
    <w:p w14:paraId="2C478182" w14:textId="2C407049" w:rsidR="00742906" w:rsidRPr="00F259E4" w:rsidRDefault="00F77383" w:rsidP="00742906">
      <w:pPr>
        <w:ind w:left="-1260" w:right="-1144"/>
        <w:rPr>
          <w:rFonts w:cstheme="minorHAnsi"/>
        </w:rPr>
      </w:pPr>
      <w:r w:rsidRPr="00F259E4">
        <w:rPr>
          <w:rFonts w:cstheme="minorHAnsi"/>
          <w:noProof/>
          <w:lang w:val="en-GB" w:eastAsia="en-GB"/>
        </w:rPr>
        <w:lastRenderedPageBreak/>
        <mc:AlternateContent>
          <mc:Choice Requires="wps">
            <w:drawing>
              <wp:anchor distT="0" distB="0" distL="114300" distR="114300" simplePos="0" relativeHeight="251658246" behindDoc="0" locked="0" layoutInCell="1" allowOverlap="1" wp14:anchorId="4CBB3271" wp14:editId="59216BB4">
                <wp:simplePos x="0" y="0"/>
                <wp:positionH relativeFrom="column">
                  <wp:posOffset>1567180</wp:posOffset>
                </wp:positionH>
                <wp:positionV relativeFrom="paragraph">
                  <wp:posOffset>-2227</wp:posOffset>
                </wp:positionV>
                <wp:extent cx="1466850" cy="695325"/>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14668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3A648" w14:textId="77777777" w:rsidR="009E312C" w:rsidRDefault="009E312C" w:rsidP="00742906">
                            <w:r>
                              <w:t>Annual savings for residential consumers by network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B3271" id="_x0000_t202" coordsize="21600,21600" o:spt="202" path="m,l,21600r21600,l21600,xe">
                <v:stroke joinstyle="miter"/>
                <v:path gradientshapeok="t" o:connecttype="rect"/>
              </v:shapetype>
              <v:shape id="Text Box 14" o:spid="_x0000_s1026" type="#_x0000_t202" style="position:absolute;left:0;text-align:left;margin-left:123.4pt;margin-top:-.2pt;width:115.5pt;height:5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" fillcolor="white [3201]" stroked="f" strokeweight=".5pt">
                <v:textbox>
                  <w:txbxContent>
                    <w:p w14:paraId="6373A648" w14:textId="77777777" w:rsidR="009E312C" w:rsidRDefault="009E312C" w:rsidP="00742906">
                      <w:r>
                        <w:t>Annual savings for residential consumers by network area</w:t>
                      </w:r>
                    </w:p>
                  </w:txbxContent>
                </v:textbox>
              </v:shape>
            </w:pict>
          </mc:Fallback>
        </mc:AlternateContent>
      </w:r>
      <w:r w:rsidRPr="00F259E4">
        <w:rPr>
          <w:rFonts w:cstheme="minorHAnsi"/>
          <w:noProof/>
          <w:lang w:val="en-GB" w:eastAsia="en-GB"/>
        </w:rPr>
        <mc:AlternateContent>
          <mc:Choice Requires="wps">
            <w:drawing>
              <wp:anchor distT="0" distB="0" distL="114300" distR="114300" simplePos="0" relativeHeight="251658242" behindDoc="0" locked="0" layoutInCell="1" allowOverlap="1" wp14:anchorId="2E330321" wp14:editId="5F804472">
                <wp:simplePos x="0" y="0"/>
                <wp:positionH relativeFrom="column">
                  <wp:posOffset>3173883</wp:posOffset>
                </wp:positionH>
                <wp:positionV relativeFrom="paragraph">
                  <wp:posOffset>1270</wp:posOffset>
                </wp:positionV>
                <wp:extent cx="1190625" cy="1047750"/>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1190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DAE36" w14:textId="77777777" w:rsidR="009E312C" w:rsidRDefault="009E312C" w:rsidP="00742906">
                            <w:r>
                              <w:t>Number of electricity retailers trading in each network area (July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30321" id="Text Box 15" o:spid="_x0000_s1027" type="#_x0000_t202" style="position:absolute;left:0;text-align:left;margin-left:249.9pt;margin-top:.1pt;width:93.75pt;height:8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" fillcolor="white [3201]" stroked="f" strokeweight=".5pt">
                <v:textbox>
                  <w:txbxContent>
                    <w:p w14:paraId="1DADAE36" w14:textId="77777777" w:rsidR="009E312C" w:rsidRDefault="009E312C" w:rsidP="00742906">
                      <w:r>
                        <w:t>Number of electricity retailers trading in each network area (July 2018)</w:t>
                      </w:r>
                    </w:p>
                  </w:txbxContent>
                </v:textbox>
              </v:shape>
            </w:pict>
          </mc:Fallback>
        </mc:AlternateContent>
      </w:r>
      <w:r w:rsidRPr="00F259E4">
        <w:rPr>
          <w:rFonts w:cstheme="minorHAnsi"/>
          <w:noProof/>
          <w:lang w:val="en-GB" w:eastAsia="en-GB"/>
        </w:rPr>
        <w:drawing>
          <wp:anchor distT="0" distB="0" distL="114300" distR="114300" simplePos="0" relativeHeight="251658244" behindDoc="0" locked="0" layoutInCell="1" allowOverlap="1" wp14:anchorId="1FCB6C5F" wp14:editId="3F205FD6">
            <wp:simplePos x="0" y="0"/>
            <wp:positionH relativeFrom="column">
              <wp:posOffset>-798830</wp:posOffset>
            </wp:positionH>
            <wp:positionV relativeFrom="paragraph">
              <wp:posOffset>196963</wp:posOffset>
            </wp:positionV>
            <wp:extent cx="3218180" cy="3801110"/>
            <wp:effectExtent l="0" t="0" r="7620" b="8890"/>
            <wp:wrapThrough wrapText="bothSides">
              <wp:wrapPolygon edited="0">
                <wp:start x="0" y="0"/>
                <wp:lineTo x="0" y="21506"/>
                <wp:lineTo x="21481" y="21506"/>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18180" cy="3801110"/>
                    </a:xfrm>
                    <a:prstGeom prst="rect">
                      <a:avLst/>
                    </a:prstGeom>
                  </pic:spPr>
                </pic:pic>
              </a:graphicData>
            </a:graphic>
            <wp14:sizeRelH relativeFrom="margin">
              <wp14:pctWidth>0</wp14:pctWidth>
            </wp14:sizeRelH>
            <wp14:sizeRelV relativeFrom="margin">
              <wp14:pctHeight>0</wp14:pctHeight>
            </wp14:sizeRelV>
          </wp:anchor>
        </w:drawing>
      </w:r>
      <w:r w:rsidRPr="00F259E4">
        <w:rPr>
          <w:rFonts w:cstheme="minorHAnsi"/>
          <w:noProof/>
          <w:lang w:val="en-GB" w:eastAsia="en-GB"/>
        </w:rPr>
        <w:drawing>
          <wp:anchor distT="0" distB="0" distL="114300" distR="114300" simplePos="0" relativeHeight="251658241" behindDoc="0" locked="0" layoutInCell="1" allowOverlap="1" wp14:anchorId="3D18BE15" wp14:editId="2832AD00">
            <wp:simplePos x="0" y="0"/>
            <wp:positionH relativeFrom="column">
              <wp:posOffset>3206115</wp:posOffset>
            </wp:positionH>
            <wp:positionV relativeFrom="paragraph">
              <wp:posOffset>45720</wp:posOffset>
            </wp:positionV>
            <wp:extent cx="2756535" cy="3900805"/>
            <wp:effectExtent l="0" t="0" r="12065"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56535" cy="3900805"/>
                    </a:xfrm>
                    <a:prstGeom prst="rect">
                      <a:avLst/>
                    </a:prstGeom>
                  </pic:spPr>
                </pic:pic>
              </a:graphicData>
            </a:graphic>
            <wp14:sizeRelH relativeFrom="page">
              <wp14:pctWidth>0</wp14:pctWidth>
            </wp14:sizeRelH>
            <wp14:sizeRelV relativeFrom="page">
              <wp14:pctHeight>0</wp14:pctHeight>
            </wp14:sizeRelV>
          </wp:anchor>
        </w:drawing>
      </w:r>
      <w:r w:rsidR="00742906" w:rsidRPr="00F259E4">
        <w:rPr>
          <w:rFonts w:cstheme="minorHAnsi"/>
        </w:rPr>
        <w:t xml:space="preserve">  </w:t>
      </w:r>
    </w:p>
    <w:p w14:paraId="62E72B7E" w14:textId="77777777" w:rsidR="001B0D36" w:rsidRDefault="001B0D36" w:rsidP="00742906">
      <w:pPr>
        <w:rPr>
          <w:rFonts w:cstheme="minorHAnsi"/>
        </w:rPr>
      </w:pPr>
    </w:p>
    <w:p w14:paraId="22C21503" w14:textId="77777777" w:rsidR="00F77383" w:rsidRDefault="00F77383" w:rsidP="00742906">
      <w:pPr>
        <w:rPr>
          <w:rFonts w:cstheme="minorHAnsi"/>
        </w:rPr>
      </w:pPr>
    </w:p>
    <w:p w14:paraId="0AACCA1E" w14:textId="77777777" w:rsidR="00F77383" w:rsidRDefault="00F77383" w:rsidP="00742906">
      <w:pPr>
        <w:rPr>
          <w:rFonts w:cstheme="minorHAnsi"/>
        </w:rPr>
      </w:pPr>
    </w:p>
    <w:p w14:paraId="21D292F4" w14:textId="1196DB0F" w:rsidR="00F77383" w:rsidRDefault="00F77383" w:rsidP="00742906">
      <w:pPr>
        <w:rPr>
          <w:rFonts w:cstheme="minorHAnsi"/>
        </w:rPr>
      </w:pPr>
      <w:r w:rsidRPr="00F259E4">
        <w:rPr>
          <w:rFonts w:cstheme="minorHAnsi"/>
          <w:noProof/>
          <w:lang w:val="en-GB" w:eastAsia="en-GB"/>
        </w:rPr>
        <w:drawing>
          <wp:anchor distT="0" distB="0" distL="114300" distR="114300" simplePos="0" relativeHeight="251658245" behindDoc="1" locked="0" layoutInCell="1" allowOverlap="1" wp14:anchorId="61956877" wp14:editId="76F0708A">
            <wp:simplePos x="0" y="0"/>
            <wp:positionH relativeFrom="column">
              <wp:posOffset>-122555</wp:posOffset>
            </wp:positionH>
            <wp:positionV relativeFrom="paragraph">
              <wp:posOffset>431800</wp:posOffset>
            </wp:positionV>
            <wp:extent cx="619200" cy="1915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9200" cy="1915200"/>
                    </a:xfrm>
                    <a:prstGeom prst="rect">
                      <a:avLst/>
                    </a:prstGeom>
                  </pic:spPr>
                </pic:pic>
              </a:graphicData>
            </a:graphic>
            <wp14:sizeRelH relativeFrom="margin">
              <wp14:pctWidth>0</wp14:pctWidth>
            </wp14:sizeRelH>
            <wp14:sizeRelV relativeFrom="margin">
              <wp14:pctHeight>0</wp14:pctHeight>
            </wp14:sizeRelV>
          </wp:anchor>
        </w:drawing>
      </w:r>
    </w:p>
    <w:p w14:paraId="265C5B02" w14:textId="77777777" w:rsidR="00F77383" w:rsidRDefault="00F77383" w:rsidP="00742906">
      <w:pPr>
        <w:rPr>
          <w:rFonts w:cstheme="minorHAnsi"/>
        </w:rPr>
      </w:pPr>
    </w:p>
    <w:p w14:paraId="401C1054" w14:textId="094AB1E2" w:rsidR="00F77383" w:rsidRDefault="00F77383" w:rsidP="00742906">
      <w:pPr>
        <w:rPr>
          <w:rFonts w:cstheme="minorHAnsi"/>
        </w:rPr>
      </w:pPr>
    </w:p>
    <w:p w14:paraId="0FAB2DA0" w14:textId="77777777" w:rsidR="00F77383" w:rsidRDefault="00F77383" w:rsidP="00742906">
      <w:pPr>
        <w:rPr>
          <w:rFonts w:cstheme="minorHAnsi"/>
        </w:rPr>
      </w:pPr>
    </w:p>
    <w:p w14:paraId="35021510" w14:textId="77777777" w:rsidR="00F77383" w:rsidRDefault="00F77383" w:rsidP="00742906">
      <w:pPr>
        <w:rPr>
          <w:rFonts w:cstheme="minorHAnsi"/>
        </w:rPr>
      </w:pPr>
    </w:p>
    <w:p w14:paraId="2BEEDAA9" w14:textId="77777777" w:rsidR="00F77383" w:rsidRDefault="00F77383" w:rsidP="00742906">
      <w:pPr>
        <w:rPr>
          <w:rFonts w:cstheme="minorHAnsi"/>
        </w:rPr>
      </w:pPr>
    </w:p>
    <w:p w14:paraId="054742B1" w14:textId="4922FA3C" w:rsidR="00F77383" w:rsidRDefault="00F77383" w:rsidP="00742906">
      <w:pPr>
        <w:rPr>
          <w:rFonts w:cstheme="minorHAnsi"/>
        </w:rPr>
      </w:pPr>
    </w:p>
    <w:p w14:paraId="19D623BF" w14:textId="77777777" w:rsidR="00F77383" w:rsidRDefault="00F77383" w:rsidP="00742906">
      <w:pPr>
        <w:rPr>
          <w:rFonts w:cstheme="minorHAnsi"/>
        </w:rPr>
      </w:pPr>
    </w:p>
    <w:p w14:paraId="353B55F7" w14:textId="77777777" w:rsidR="00F77383" w:rsidRDefault="00F77383" w:rsidP="00F77383">
      <w:pPr>
        <w:rPr>
          <w:rFonts w:cstheme="minorHAnsi"/>
        </w:rPr>
      </w:pPr>
    </w:p>
    <w:p w14:paraId="2740980D" w14:textId="6C773BBB" w:rsidR="00F77383" w:rsidRPr="00AB281E" w:rsidRDefault="00742906" w:rsidP="00F77383">
      <w:pPr>
        <w:rPr>
          <w:rFonts w:cstheme="minorHAnsi"/>
          <w:sz w:val="19"/>
          <w:szCs w:val="19"/>
        </w:rPr>
      </w:pPr>
      <w:r w:rsidRPr="00AB281E">
        <w:rPr>
          <w:rFonts w:cstheme="minorHAnsi"/>
          <w:sz w:val="19"/>
          <w:szCs w:val="19"/>
        </w:rPr>
        <w:t>Source: EMI data, Electricity Authority website</w:t>
      </w:r>
      <w:r w:rsidRPr="00AB281E">
        <w:rPr>
          <w:rStyle w:val="FootnoteReference"/>
          <w:rFonts w:cstheme="minorHAnsi"/>
          <w:sz w:val="19"/>
          <w:szCs w:val="19"/>
        </w:rPr>
        <w:footnoteReference w:id="19"/>
      </w:r>
      <w:r w:rsidRPr="00AB281E">
        <w:rPr>
          <w:rFonts w:cstheme="minorHAnsi"/>
          <w:sz w:val="19"/>
          <w:szCs w:val="19"/>
        </w:rPr>
        <w:t xml:space="preserve"> </w:t>
      </w:r>
    </w:p>
    <w:p w14:paraId="7F0F4414" w14:textId="7D1731A3" w:rsidR="00742906" w:rsidRPr="00F259E4" w:rsidRDefault="00742906" w:rsidP="00273087">
      <w:pPr>
        <w:pStyle w:val="ListParagraph"/>
        <w:numPr>
          <w:ilvl w:val="0"/>
          <w:numId w:val="42"/>
        </w:numPr>
        <w:ind w:left="851" w:hanging="425"/>
        <w:contextualSpacing w:val="0"/>
        <w:rPr>
          <w:rFonts w:cstheme="minorHAnsi"/>
        </w:rPr>
      </w:pPr>
      <w:r w:rsidRPr="00F259E4">
        <w:rPr>
          <w:rFonts w:cstheme="minorHAnsi"/>
        </w:rPr>
        <w:t xml:space="preserve">Another way of assessing the significance of a ‘two-tier’ market is examining minimum and maximum tariffs. The </w:t>
      </w:r>
      <w:r w:rsidR="00671D60">
        <w:rPr>
          <w:rFonts w:cstheme="minorHAnsi"/>
        </w:rPr>
        <w:t>M</w:t>
      </w:r>
      <w:r w:rsidRPr="00F259E4">
        <w:rPr>
          <w:rFonts w:cstheme="minorHAnsi"/>
        </w:rPr>
        <w:t xml:space="preserve">inistry for Business, Innovation and Employment used to compile a </w:t>
      </w:r>
      <w:r w:rsidR="003F3020">
        <w:rPr>
          <w:rFonts w:cstheme="minorHAnsi"/>
        </w:rPr>
        <w:t xml:space="preserve">helpful </w:t>
      </w:r>
      <w:r w:rsidRPr="00F259E4">
        <w:rPr>
          <w:rFonts w:cstheme="minorHAnsi"/>
        </w:rPr>
        <w:t>survey on maximum and minimum residential tariffs.  Unfortunately this survey ceased to provide this data after November 2013.</w:t>
      </w:r>
    </w:p>
    <w:p w14:paraId="07B3AE74" w14:textId="77777777" w:rsidR="00742906" w:rsidRPr="00F259E4" w:rsidRDefault="00742906" w:rsidP="00273087">
      <w:pPr>
        <w:pStyle w:val="ListParagraph"/>
        <w:numPr>
          <w:ilvl w:val="0"/>
          <w:numId w:val="42"/>
        </w:numPr>
        <w:ind w:left="851" w:hanging="425"/>
        <w:contextualSpacing w:val="0"/>
        <w:rPr>
          <w:rFonts w:cstheme="minorHAnsi"/>
        </w:rPr>
      </w:pPr>
      <w:r w:rsidRPr="00F259E4">
        <w:rPr>
          <w:rFonts w:cstheme="minorHAnsi"/>
        </w:rPr>
        <w:t>The survey showed the difference between the average maximum and minimum tariff as well as the gap between the incumbent and minimum tariffs.</w:t>
      </w:r>
      <w:r w:rsidRPr="00F259E4">
        <w:rPr>
          <w:rStyle w:val="FootnoteReference"/>
          <w:rFonts w:cstheme="minorHAnsi"/>
        </w:rPr>
        <w:footnoteReference w:id="20"/>
      </w:r>
      <w:r w:rsidRPr="00F259E4">
        <w:rPr>
          <w:rFonts w:cstheme="minorHAnsi"/>
        </w:rPr>
        <w:t xml:space="preserve"> Incumbent tariffs exceeded the minimum tariffs by an increasing amount over time. There was a considerable difference between the maximum and minimum tariffs – with the maximum tariffs most likely to be offered by incumbents.</w:t>
      </w:r>
    </w:p>
    <w:p w14:paraId="600311B7" w14:textId="77777777" w:rsidR="001B0D36" w:rsidRDefault="001B0D36" w:rsidP="00742906">
      <w:pPr>
        <w:rPr>
          <w:rFonts w:cstheme="minorHAnsi"/>
        </w:rPr>
      </w:pPr>
    </w:p>
    <w:p w14:paraId="6F86576A" w14:textId="056213D7" w:rsidR="00742906" w:rsidRPr="00F259E4" w:rsidRDefault="00AB281E" w:rsidP="00273087">
      <w:pPr>
        <w:pStyle w:val="ListParagraph"/>
        <w:numPr>
          <w:ilvl w:val="0"/>
          <w:numId w:val="43"/>
        </w:numPr>
        <w:ind w:left="851" w:hanging="425"/>
        <w:rPr>
          <w:rFonts w:cstheme="minorHAnsi"/>
          <w:lang w:val="en-US"/>
        </w:rPr>
      </w:pPr>
      <w:r>
        <w:rPr>
          <w:rFonts w:cstheme="minorHAnsi"/>
          <w:noProof/>
          <w:lang w:val="en-GB" w:eastAsia="en-GB"/>
        </w:rPr>
        <w:lastRenderedPageBreak/>
        <mc:AlternateContent>
          <mc:Choice Requires="wps">
            <w:drawing>
              <wp:anchor distT="0" distB="0" distL="114300" distR="114300" simplePos="0" relativeHeight="251658249" behindDoc="0" locked="0" layoutInCell="1" allowOverlap="1" wp14:anchorId="17BB7360" wp14:editId="4BBFCDF0">
                <wp:simplePos x="0" y="0"/>
                <wp:positionH relativeFrom="column">
                  <wp:posOffset>95250</wp:posOffset>
                </wp:positionH>
                <wp:positionV relativeFrom="paragraph">
                  <wp:posOffset>2399665</wp:posOffset>
                </wp:positionV>
                <wp:extent cx="5518150" cy="347980"/>
                <wp:effectExtent l="0" t="0" r="0" b="7620"/>
                <wp:wrapSquare wrapText="bothSides"/>
                <wp:docPr id="21" name="Text Box 21"/>
                <wp:cNvGraphicFramePr/>
                <a:graphic xmlns:a="http://schemas.openxmlformats.org/drawingml/2006/main">
                  <a:graphicData uri="http://schemas.microsoft.com/office/word/2010/wordprocessingShape">
                    <wps:wsp>
                      <wps:cNvSpPr txBox="1"/>
                      <wps:spPr>
                        <a:xfrm>
                          <a:off x="0" y="0"/>
                          <a:ext cx="5518150"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12A2CE" w14:textId="24020DC6" w:rsidR="009E312C" w:rsidRPr="00AB281E" w:rsidRDefault="009E312C">
                            <w:pPr>
                              <w:rPr>
                                <w:sz w:val="19"/>
                                <w:szCs w:val="19"/>
                                <w:lang w:val="en-AU"/>
                              </w:rPr>
                            </w:pPr>
                            <w:r w:rsidRPr="00AB281E">
                              <w:rPr>
                                <w:sz w:val="19"/>
                                <w:szCs w:val="19"/>
                                <w:lang w:val="en-AU"/>
                              </w:rPr>
                              <w:t>Source: MBIE Quarterly Residential Price Survey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7360" id="Text Box 21" o:spid="_x0000_s1028" type="#_x0000_t202" style="position:absolute;left:0;text-align:left;margin-left:7.5pt;margin-top:188.95pt;width:434.5pt;height:27.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" filled="f" stroked="f">
                <v:textbox>
                  <w:txbxContent>
                    <w:p w14:paraId="4E12A2CE" w14:textId="24020DC6" w:rsidR="009E312C" w:rsidRPr="00AB281E" w:rsidRDefault="009E312C">
                      <w:pPr>
                        <w:rPr>
                          <w:sz w:val="19"/>
                          <w:szCs w:val="19"/>
                          <w:lang w:val="en-AU"/>
                        </w:rPr>
                      </w:pPr>
                      <w:r w:rsidRPr="00AB281E">
                        <w:rPr>
                          <w:sz w:val="19"/>
                          <w:szCs w:val="19"/>
                          <w:lang w:val="en-AU"/>
                        </w:rPr>
                        <w:t>Source: MBIE Quarterly Residential Price Survey 2013.</w:t>
                      </w:r>
                    </w:p>
                  </w:txbxContent>
                </v:textbox>
                <w10:wrap type="square"/>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315C6930" wp14:editId="413C2DCE">
                <wp:simplePos x="0" y="0"/>
                <wp:positionH relativeFrom="column">
                  <wp:posOffset>0</wp:posOffset>
                </wp:positionH>
                <wp:positionV relativeFrom="paragraph">
                  <wp:posOffset>0</wp:posOffset>
                </wp:positionV>
                <wp:extent cx="5390515" cy="24028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90515" cy="2402840"/>
                        </a:xfrm>
                        <a:prstGeom prst="rect">
                          <a:avLst/>
                        </a:prstGeom>
                        <a:noFill/>
                        <a:ln>
                          <a:noFill/>
                        </a:ln>
                        <a:effectLst/>
                      </wps:spPr>
                      <wps:txbx>
                        <w:txbxContent>
                          <w:p w14:paraId="4613478B" w14:textId="77777777" w:rsidR="009E312C" w:rsidRPr="00CC5549" w:rsidRDefault="009E312C" w:rsidP="009F3FDF">
                            <w:pPr>
                              <w:rPr>
                                <w:rFonts w:cstheme="minorHAnsi"/>
                                <w:noProof/>
                              </w:rPr>
                            </w:pPr>
                            <w:r w:rsidRPr="00F259E4">
                              <w:rPr>
                                <w:rFonts w:cstheme="minorHAnsi"/>
                                <w:noProof/>
                                <w:lang w:val="en-GB" w:eastAsia="en-GB"/>
                              </w:rPr>
                              <w:drawing>
                                <wp:inline distT="0" distB="0" distL="0" distR="0" wp14:anchorId="2D2B2746" wp14:editId="1C8D2FB6">
                                  <wp:extent cx="5197033" cy="2152015"/>
                                  <wp:effectExtent l="0" t="0" r="1016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0" t="3868" r="1768" b="6216"/>
                                          <a:stretch/>
                                        </pic:blipFill>
                                        <pic:spPr bwMode="auto">
                                          <a:xfrm>
                                            <a:off x="0" y="0"/>
                                            <a:ext cx="5200346" cy="21533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5C6930" id="Text Box 5" o:spid="_x0000_s1029" type="#_x0000_t202" style="position:absolute;left:0;text-align:left;margin-left:0;margin-top:0;width:424.45pt;height:189.2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" filled="f" stroked="f">
                <v:textbox style="mso-fit-shape-to-text:t">
                  <w:txbxContent>
                    <w:p w14:paraId="4613478B" w14:textId="77777777" w:rsidR="009E312C" w:rsidRPr="00CC5549" w:rsidRDefault="009E312C" w:rsidP="009F3FDF">
                      <w:pPr>
                        <w:rPr>
                          <w:rFonts w:cstheme="minorHAnsi"/>
                          <w:noProof/>
                        </w:rPr>
                      </w:pPr>
                      <w:r w:rsidRPr="00F259E4">
                        <w:rPr>
                          <w:rFonts w:cstheme="minorHAnsi"/>
                          <w:noProof/>
                          <w:lang w:val="en-GB" w:eastAsia="en-GB"/>
                        </w:rPr>
                        <w:drawing>
                          <wp:inline distT="0" distB="0" distL="0" distR="0" wp14:anchorId="2D2B2746" wp14:editId="1C8D2FB6">
                            <wp:extent cx="5197033" cy="2152015"/>
                            <wp:effectExtent l="0" t="0" r="1016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0" t="3868" r="1768" b="6216"/>
                                    <a:stretch/>
                                  </pic:blipFill>
                                  <pic:spPr bwMode="auto">
                                    <a:xfrm>
                                      <a:off x="0" y="0"/>
                                      <a:ext cx="5200346" cy="215338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11207">
        <w:rPr>
          <w:rFonts w:cstheme="minorHAnsi"/>
          <w:lang w:val="en-US"/>
        </w:rPr>
        <w:t xml:space="preserve">A similar </w:t>
      </w:r>
      <w:r w:rsidR="00742906" w:rsidRPr="00F259E4">
        <w:rPr>
          <w:rFonts w:cstheme="minorHAnsi"/>
          <w:lang w:val="en-US"/>
        </w:rPr>
        <w:t xml:space="preserve">comparison on maximum and minimum tariffs was, in effect, analysed by </w:t>
      </w:r>
      <w:r w:rsidR="00261827">
        <w:rPr>
          <w:rFonts w:cstheme="minorHAnsi"/>
          <w:lang w:val="en-US"/>
        </w:rPr>
        <w:t xml:space="preserve">Britain’s </w:t>
      </w:r>
      <w:r w:rsidR="00742906" w:rsidRPr="00F259E4">
        <w:rPr>
          <w:rFonts w:cstheme="minorHAnsi"/>
          <w:lang w:val="en-US"/>
        </w:rPr>
        <w:t xml:space="preserve">Competition &amp; Markets Authority (CMA) investigation into </w:t>
      </w:r>
      <w:r w:rsidR="0065098E">
        <w:rPr>
          <w:rFonts w:cstheme="minorHAnsi"/>
          <w:lang w:val="en-US"/>
        </w:rPr>
        <w:t xml:space="preserve">the </w:t>
      </w:r>
      <w:r w:rsidR="00742906" w:rsidRPr="00F259E4">
        <w:rPr>
          <w:rFonts w:cstheme="minorHAnsi"/>
          <w:lang w:val="en-US"/>
        </w:rPr>
        <w:t>retail household energy market</w:t>
      </w:r>
      <w:r w:rsidR="0065098E">
        <w:rPr>
          <w:rFonts w:cstheme="minorHAnsi"/>
          <w:lang w:val="en-US"/>
        </w:rPr>
        <w:t>,</w:t>
      </w:r>
      <w:r w:rsidR="00742906" w:rsidRPr="00F259E4">
        <w:rPr>
          <w:rFonts w:cstheme="minorHAnsi"/>
          <w:lang w:val="en-US"/>
        </w:rPr>
        <w:t xml:space="preserve"> completed in June 2016. This compared the </w:t>
      </w:r>
      <w:r w:rsidR="00261103">
        <w:rPr>
          <w:rFonts w:cstheme="minorHAnsi"/>
          <w:lang w:val="en-US"/>
        </w:rPr>
        <w:t>s</w:t>
      </w:r>
      <w:r w:rsidR="00742906" w:rsidRPr="00F259E4">
        <w:rPr>
          <w:rFonts w:cstheme="minorHAnsi"/>
          <w:lang w:val="en-US"/>
        </w:rPr>
        <w:t xml:space="preserve">tandard </w:t>
      </w:r>
      <w:r w:rsidR="00261103">
        <w:rPr>
          <w:rFonts w:cstheme="minorHAnsi"/>
          <w:lang w:val="en-US"/>
        </w:rPr>
        <w:t>v</w:t>
      </w:r>
      <w:r w:rsidR="00742906" w:rsidRPr="00F259E4">
        <w:rPr>
          <w:rFonts w:cstheme="minorHAnsi"/>
          <w:lang w:val="en-US"/>
        </w:rPr>
        <w:t xml:space="preserve">ariable </w:t>
      </w:r>
      <w:r w:rsidR="00261103">
        <w:rPr>
          <w:rFonts w:cstheme="minorHAnsi"/>
          <w:lang w:val="en-US"/>
        </w:rPr>
        <w:t>t</w:t>
      </w:r>
      <w:r w:rsidR="00742906" w:rsidRPr="00F259E4">
        <w:rPr>
          <w:rFonts w:cstheme="minorHAnsi"/>
          <w:lang w:val="en-US"/>
        </w:rPr>
        <w:t>ariff</w:t>
      </w:r>
      <w:r w:rsidR="00742906" w:rsidRPr="00F259E4">
        <w:rPr>
          <w:rStyle w:val="FootnoteReference"/>
          <w:rFonts w:cstheme="minorHAnsi"/>
          <w:lang w:val="en-US"/>
        </w:rPr>
        <w:footnoteReference w:id="21"/>
      </w:r>
      <w:r w:rsidR="00742906" w:rsidRPr="00F259E4">
        <w:rPr>
          <w:rFonts w:cstheme="minorHAnsi"/>
          <w:lang w:val="en-US"/>
        </w:rPr>
        <w:t xml:space="preserve"> (SVT) and other available tariffs</w:t>
      </w:r>
      <w:r w:rsidR="00261103">
        <w:rPr>
          <w:rFonts w:cstheme="minorHAnsi"/>
          <w:lang w:val="en-US"/>
        </w:rPr>
        <w:t>,</w:t>
      </w:r>
      <w:r w:rsidR="00742906" w:rsidRPr="00F259E4">
        <w:rPr>
          <w:rFonts w:cstheme="minorHAnsi"/>
          <w:lang w:val="en-US"/>
        </w:rPr>
        <w:t xml:space="preserve"> as well as investigating the types of households on different tariffs. The conclusion was:</w:t>
      </w:r>
    </w:p>
    <w:p w14:paraId="0FD47F5D" w14:textId="36E4FB0E" w:rsidR="00742906" w:rsidRPr="00F259E4" w:rsidRDefault="00742906" w:rsidP="00742906">
      <w:pPr>
        <w:ind w:left="426"/>
        <w:rPr>
          <w:rFonts w:cstheme="minorHAnsi"/>
          <w:lang w:val="en-US"/>
        </w:rPr>
      </w:pPr>
      <w:r w:rsidRPr="00F259E4">
        <w:rPr>
          <w:rFonts w:cstheme="minorHAnsi"/>
          <w:i/>
          <w:lang w:val="en-US"/>
        </w:rPr>
        <w:t xml:space="preserve">“Disengaged households were generally on the evergreen SVT tariff, either because they had never made a positive choice, or because they had defaulted to the SVT at the expiry of a fixed term tariff.” </w:t>
      </w:r>
      <w:r w:rsidRPr="00F259E4">
        <w:rPr>
          <w:rStyle w:val="FootnoteReference"/>
          <w:rFonts w:cstheme="minorHAnsi"/>
          <w:i/>
          <w:lang w:val="en-US"/>
        </w:rPr>
        <w:footnoteReference w:id="22"/>
      </w:r>
    </w:p>
    <w:p w14:paraId="6626BE04" w14:textId="0F938248" w:rsidR="00742906" w:rsidRPr="00F259E4" w:rsidRDefault="00742906" w:rsidP="00273087">
      <w:pPr>
        <w:pStyle w:val="ListParagraph"/>
        <w:numPr>
          <w:ilvl w:val="0"/>
          <w:numId w:val="43"/>
        </w:numPr>
        <w:ind w:left="851" w:hanging="425"/>
        <w:contextualSpacing w:val="0"/>
        <w:rPr>
          <w:rFonts w:cstheme="minorHAnsi"/>
          <w:lang w:val="en-US"/>
        </w:rPr>
      </w:pPr>
      <w:r w:rsidRPr="00F259E4">
        <w:rPr>
          <w:rFonts w:cstheme="minorHAnsi"/>
          <w:lang w:val="en-US"/>
        </w:rPr>
        <w:t xml:space="preserve">The UK review, </w:t>
      </w:r>
      <w:r w:rsidR="002951F9">
        <w:rPr>
          <w:rFonts w:cstheme="minorHAnsi"/>
          <w:lang w:val="en-US"/>
        </w:rPr>
        <w:t xml:space="preserve">supported by </w:t>
      </w:r>
      <w:r w:rsidR="00CC5957">
        <w:rPr>
          <w:rFonts w:cstheme="minorHAnsi"/>
          <w:lang w:val="en-US"/>
        </w:rPr>
        <w:t xml:space="preserve">an Australian </w:t>
      </w:r>
      <w:r w:rsidRPr="00F259E4">
        <w:rPr>
          <w:rFonts w:cstheme="minorHAnsi"/>
          <w:lang w:val="en-US"/>
        </w:rPr>
        <w:t>review</w:t>
      </w:r>
      <w:r w:rsidRPr="00F259E4">
        <w:rPr>
          <w:rStyle w:val="FootnoteReference"/>
          <w:rFonts w:cstheme="minorHAnsi"/>
          <w:lang w:val="en-US"/>
        </w:rPr>
        <w:footnoteReference w:id="23"/>
      </w:r>
      <w:r w:rsidR="00105568">
        <w:rPr>
          <w:rFonts w:cstheme="minorHAnsi"/>
          <w:lang w:val="en-US"/>
        </w:rPr>
        <w:t>,</w:t>
      </w:r>
      <w:r w:rsidRPr="00F259E4">
        <w:rPr>
          <w:rFonts w:cstheme="minorHAnsi"/>
          <w:lang w:val="en-US"/>
        </w:rPr>
        <w:t xml:space="preserve"> identified a detriment to competition from retailers’ pricing. Retailers’ pricing discriminated against loyal ‘sticky’ customers who are effectively funding the better deals offered to ‘new’ and ‘leaving’ customers – the competitive tier.  Sticky customers are also driving overall increased levels of profitability. The issue of ‘sticky customers’ is discussed in more detail below.  </w:t>
      </w:r>
    </w:p>
    <w:p w14:paraId="7754983C" w14:textId="77777777" w:rsidR="00742906" w:rsidRPr="00F259E4" w:rsidRDefault="00742906" w:rsidP="00273087">
      <w:pPr>
        <w:pStyle w:val="ListParagraph"/>
        <w:numPr>
          <w:ilvl w:val="0"/>
          <w:numId w:val="43"/>
        </w:numPr>
        <w:ind w:left="851" w:hanging="425"/>
        <w:contextualSpacing w:val="0"/>
        <w:rPr>
          <w:rFonts w:cstheme="minorHAnsi"/>
          <w:lang w:val="en-US"/>
        </w:rPr>
      </w:pPr>
      <w:r w:rsidRPr="00F259E4">
        <w:rPr>
          <w:rFonts w:cstheme="minorHAnsi"/>
          <w:lang w:val="en-US"/>
        </w:rPr>
        <w:t xml:space="preserve">Another contributor to some consumers paying high prices – and contributing to the ‘two-tier market - are the charges imposed on consumers buying electricity on a pre-pay basis. These pre-pay customers are often vulnerable consumers. </w:t>
      </w:r>
      <w:r w:rsidRPr="00F259E4">
        <w:rPr>
          <w:rStyle w:val="FootnoteReference"/>
          <w:rFonts w:cstheme="minorHAnsi"/>
        </w:rPr>
        <w:footnoteReference w:id="24"/>
      </w:r>
      <w:r w:rsidRPr="00F259E4">
        <w:rPr>
          <w:rFonts w:cstheme="minorHAnsi"/>
        </w:rPr>
        <w:t>.</w:t>
      </w:r>
    </w:p>
    <w:p w14:paraId="03612E83" w14:textId="77777777" w:rsidR="00742906" w:rsidRPr="00F259E4" w:rsidRDefault="00742906" w:rsidP="00273087">
      <w:pPr>
        <w:pStyle w:val="ListParagraph"/>
        <w:numPr>
          <w:ilvl w:val="0"/>
          <w:numId w:val="43"/>
        </w:numPr>
        <w:ind w:left="851" w:hanging="425"/>
        <w:rPr>
          <w:rFonts w:cstheme="minorHAnsi"/>
        </w:rPr>
      </w:pPr>
      <w:r w:rsidRPr="00F259E4">
        <w:rPr>
          <w:rFonts w:cstheme="minorHAnsi"/>
        </w:rPr>
        <w:t>Ofgem is proposing to put a price cap on poor value default tariffs – legislation requiring Ofgem to design and implement this price cap has been passed by the UK Parliament.</w:t>
      </w:r>
      <w:r w:rsidRPr="00F259E4">
        <w:rPr>
          <w:rStyle w:val="FootnoteReference"/>
          <w:rFonts w:cstheme="minorHAnsi"/>
        </w:rPr>
        <w:footnoteReference w:id="25"/>
      </w:r>
      <w:r w:rsidRPr="00F259E4">
        <w:rPr>
          <w:rFonts w:cstheme="minorHAnsi"/>
        </w:rPr>
        <w:t xml:space="preserve"> </w:t>
      </w:r>
    </w:p>
    <w:p w14:paraId="4241FCAE" w14:textId="6DE13104" w:rsidR="00742906" w:rsidRPr="00F259E4" w:rsidRDefault="00742906" w:rsidP="00273087">
      <w:pPr>
        <w:pStyle w:val="ListParagraph"/>
        <w:numPr>
          <w:ilvl w:val="0"/>
          <w:numId w:val="43"/>
        </w:numPr>
        <w:spacing w:after="360"/>
        <w:ind w:left="850" w:hanging="425"/>
        <w:contextualSpacing w:val="0"/>
        <w:rPr>
          <w:rFonts w:cstheme="minorHAnsi"/>
        </w:rPr>
      </w:pPr>
      <w:r w:rsidRPr="00F259E4">
        <w:rPr>
          <w:rFonts w:cstheme="minorHAnsi"/>
        </w:rPr>
        <w:lastRenderedPageBreak/>
        <w:t xml:space="preserve">In summary, ENA agrees with the Panel there is clear evidence of a two-tier market of consumers. This two-tier market requires more study and analysis than can be completed by the EPR </w:t>
      </w:r>
      <w:r w:rsidR="00F66A2B">
        <w:rPr>
          <w:rFonts w:cstheme="minorHAnsi"/>
        </w:rPr>
        <w:t>Panel</w:t>
      </w:r>
      <w:r w:rsidRPr="00F259E4">
        <w:rPr>
          <w:rFonts w:cstheme="minorHAnsi"/>
        </w:rPr>
        <w:t xml:space="preserve"> within its tight reporting timeframes and resources. The answers to addressing the two-tier market are not obvious, but there are solutions which have been used overseas that are worth considering in the New Zealand context.</w:t>
      </w:r>
    </w:p>
    <w:p w14:paraId="788775AD" w14:textId="77777777" w:rsidR="00742906" w:rsidRPr="001F098C" w:rsidRDefault="00742906" w:rsidP="00742906">
      <w:pPr>
        <w:rPr>
          <w:rFonts w:cstheme="minorHAnsi"/>
          <w:b/>
          <w:sz w:val="24"/>
          <w:szCs w:val="24"/>
        </w:rPr>
      </w:pPr>
      <w:r w:rsidRPr="001F098C">
        <w:rPr>
          <w:rFonts w:cstheme="minorHAnsi"/>
          <w:b/>
          <w:sz w:val="24"/>
          <w:szCs w:val="24"/>
        </w:rPr>
        <w:t>Possible Solutions</w:t>
      </w:r>
    </w:p>
    <w:p w14:paraId="7FBA5F36" w14:textId="18385B22" w:rsidR="00742906" w:rsidRPr="00F259E4" w:rsidRDefault="00742906" w:rsidP="00742906">
      <w:pPr>
        <w:rPr>
          <w:rFonts w:cstheme="minorHAnsi"/>
        </w:rPr>
      </w:pPr>
      <w:r w:rsidRPr="00F259E4">
        <w:rPr>
          <w:rFonts w:cstheme="minorHAnsi"/>
        </w:rPr>
        <w:t xml:space="preserve">Solutions identified in the </w:t>
      </w:r>
      <w:r w:rsidR="00240284">
        <w:rPr>
          <w:rFonts w:cstheme="minorHAnsi"/>
        </w:rPr>
        <w:t>British electricity price</w:t>
      </w:r>
      <w:r w:rsidRPr="00F259E4">
        <w:rPr>
          <w:rFonts w:cstheme="minorHAnsi"/>
        </w:rPr>
        <w:t xml:space="preserve"> review and described in the Cave report included:</w:t>
      </w:r>
    </w:p>
    <w:p w14:paraId="2BE39414" w14:textId="77777777" w:rsidR="00742906" w:rsidRPr="00F259E4" w:rsidRDefault="00742906" w:rsidP="00742906">
      <w:pPr>
        <w:ind w:left="567" w:hanging="141"/>
        <w:rPr>
          <w:rFonts w:cstheme="minorHAnsi"/>
          <w:i/>
        </w:rPr>
      </w:pPr>
      <w:r w:rsidRPr="00F259E4">
        <w:rPr>
          <w:rFonts w:cstheme="minorHAnsi"/>
          <w:i/>
        </w:rPr>
        <w:t xml:space="preserve">- </w:t>
      </w:r>
      <w:r w:rsidRPr="00F259E4">
        <w:rPr>
          <w:rFonts w:cstheme="minorHAnsi"/>
          <w:i/>
        </w:rPr>
        <w:tab/>
        <w:t xml:space="preserve">“the establishment by Ofgem of a programme to provide customers – directly or through their own suppliers – with information to prompt them to engage; </w:t>
      </w:r>
    </w:p>
    <w:p w14:paraId="54B487AD" w14:textId="0469D508" w:rsidR="00742906" w:rsidRPr="00F259E4" w:rsidRDefault="00742906" w:rsidP="00742906">
      <w:pPr>
        <w:ind w:left="567" w:hanging="141"/>
        <w:rPr>
          <w:rFonts w:cstheme="minorHAnsi"/>
          <w:i/>
        </w:rPr>
      </w:pPr>
      <w:r w:rsidRPr="00F259E4">
        <w:rPr>
          <w:rFonts w:cstheme="minorHAnsi"/>
          <w:i/>
        </w:rPr>
        <w:t xml:space="preserve">- </w:t>
      </w:r>
      <w:r w:rsidRPr="00F259E4">
        <w:rPr>
          <w:rFonts w:cstheme="minorHAnsi"/>
          <w:i/>
        </w:rPr>
        <w:tab/>
        <w:t xml:space="preserve">creating an Ofgem-controlled database of ‘disengaged customers’ on default tariffs, to allow rival suppliers to prompt these customers to engage in the retail energy markets (the </w:t>
      </w:r>
      <w:r w:rsidR="00435524">
        <w:rPr>
          <w:rFonts w:cstheme="minorHAnsi"/>
          <w:i/>
        </w:rPr>
        <w:t>d</w:t>
      </w:r>
      <w:r w:rsidRPr="00F259E4">
        <w:rPr>
          <w:rFonts w:cstheme="minorHAnsi"/>
          <w:i/>
        </w:rPr>
        <w:t xml:space="preserve">atabase remedy); </w:t>
      </w:r>
    </w:p>
    <w:p w14:paraId="2CC5CB78" w14:textId="77777777" w:rsidR="00742906" w:rsidRPr="00F259E4" w:rsidRDefault="00742906" w:rsidP="00742906">
      <w:pPr>
        <w:ind w:left="567" w:hanging="141"/>
        <w:rPr>
          <w:rFonts w:cstheme="minorHAnsi"/>
          <w:i/>
        </w:rPr>
      </w:pPr>
      <w:r w:rsidRPr="00F259E4">
        <w:rPr>
          <w:rFonts w:cstheme="minorHAnsi"/>
          <w:i/>
        </w:rPr>
        <w:t xml:space="preserve">- </w:t>
      </w:r>
      <w:r w:rsidRPr="00F259E4">
        <w:rPr>
          <w:rFonts w:cstheme="minorHAnsi"/>
          <w:i/>
        </w:rPr>
        <w:tab/>
        <w:t xml:space="preserve">enhancing the ability and incentives of third-party intermediaries (TPIs) to promote customer engagement in the retail energy markets; </w:t>
      </w:r>
    </w:p>
    <w:p w14:paraId="3B1B8958" w14:textId="77777777" w:rsidR="00742906" w:rsidRPr="00F259E4" w:rsidRDefault="00742906" w:rsidP="00742906">
      <w:pPr>
        <w:ind w:left="567" w:hanging="141"/>
        <w:rPr>
          <w:rFonts w:cstheme="minorHAnsi"/>
          <w:i/>
        </w:rPr>
      </w:pPr>
      <w:r w:rsidRPr="00F259E4">
        <w:rPr>
          <w:rFonts w:cstheme="minorHAnsi"/>
          <w:i/>
        </w:rPr>
        <w:t xml:space="preserve">- </w:t>
      </w:r>
      <w:r w:rsidRPr="00F259E4">
        <w:rPr>
          <w:rFonts w:cstheme="minorHAnsi"/>
          <w:i/>
        </w:rPr>
        <w:tab/>
        <w:t xml:space="preserve">Ofgem making greater use of principles rather than prescriptive rules in addressing potential adverse supplier behaviour concerning the comparability of their tariffs.” </w:t>
      </w:r>
      <w:r w:rsidRPr="00F259E4">
        <w:rPr>
          <w:rStyle w:val="FootnoteReference"/>
          <w:rFonts w:cstheme="minorHAnsi"/>
          <w:i/>
        </w:rPr>
        <w:footnoteReference w:id="26"/>
      </w:r>
    </w:p>
    <w:p w14:paraId="2A70CB23" w14:textId="1D7FF1C5" w:rsidR="00742906" w:rsidRPr="00F259E4" w:rsidRDefault="00742906" w:rsidP="00742906">
      <w:pPr>
        <w:rPr>
          <w:rFonts w:cstheme="minorHAnsi"/>
        </w:rPr>
      </w:pPr>
      <w:r w:rsidRPr="00F259E4">
        <w:rPr>
          <w:rFonts w:cstheme="minorHAnsi"/>
        </w:rPr>
        <w:t>In the first half of 2018</w:t>
      </w:r>
      <w:r w:rsidR="00435524">
        <w:rPr>
          <w:rFonts w:cstheme="minorHAnsi"/>
        </w:rPr>
        <w:t>,</w:t>
      </w:r>
      <w:r w:rsidRPr="00F259E4">
        <w:rPr>
          <w:rFonts w:cstheme="minorHAnsi"/>
        </w:rPr>
        <w:t xml:space="preserve"> Ofgem held a simplified collective switch trial</w:t>
      </w:r>
      <w:r w:rsidR="00F24D23">
        <w:rPr>
          <w:rFonts w:cstheme="minorHAnsi"/>
        </w:rPr>
        <w:t>. R</w:t>
      </w:r>
      <w:r w:rsidRPr="00F259E4">
        <w:rPr>
          <w:rFonts w:cstheme="minorHAnsi"/>
        </w:rPr>
        <w:t>esults were published on 20 August 2018</w:t>
      </w:r>
      <w:r w:rsidRPr="00F259E4">
        <w:rPr>
          <w:rStyle w:val="FootnoteReference"/>
          <w:rFonts w:cstheme="minorHAnsi"/>
        </w:rPr>
        <w:footnoteReference w:id="27"/>
      </w:r>
      <w:r w:rsidR="00F24D23">
        <w:rPr>
          <w:rFonts w:cstheme="minorHAnsi"/>
        </w:rPr>
        <w:t>:</w:t>
      </w:r>
    </w:p>
    <w:p w14:paraId="77FD9387" w14:textId="7E75D206" w:rsidR="009F11F8" w:rsidRPr="00F259E4" w:rsidRDefault="00742906" w:rsidP="009F11F8">
      <w:pPr>
        <w:ind w:left="426"/>
        <w:rPr>
          <w:rFonts w:cstheme="minorHAnsi"/>
          <w:i/>
        </w:rPr>
      </w:pPr>
      <w:r w:rsidRPr="00F259E4">
        <w:rPr>
          <w:rFonts w:cstheme="minorHAnsi"/>
          <w:i/>
        </w:rPr>
        <w:t>“</w:t>
      </w:r>
      <w:r w:rsidR="009F11F8">
        <w:rPr>
          <w:rFonts w:cstheme="minorHAnsi"/>
          <w:i/>
        </w:rPr>
        <w:t>I</w:t>
      </w:r>
      <w:r w:rsidR="009F11F8" w:rsidRPr="00F259E4">
        <w:rPr>
          <w:rFonts w:cstheme="minorHAnsi"/>
          <w:i/>
        </w:rPr>
        <w:t>t involved around 50,000 customers from one of the six largest energy suppliers who had been on a standard variable</w:t>
      </w:r>
      <w:r w:rsidR="009F11F8">
        <w:rPr>
          <w:rFonts w:cstheme="minorHAnsi"/>
          <w:i/>
        </w:rPr>
        <w:t xml:space="preserve"> tariff for three years or more</w:t>
      </w:r>
      <w:r w:rsidR="009F11F8" w:rsidRPr="00F259E4">
        <w:rPr>
          <w:rFonts w:cstheme="minorHAnsi"/>
          <w:i/>
        </w:rPr>
        <w:t>…</w:t>
      </w:r>
    </w:p>
    <w:p w14:paraId="442DD335" w14:textId="5D5C3B23" w:rsidR="00742906" w:rsidRPr="00F259E4" w:rsidRDefault="00742906" w:rsidP="00742906">
      <w:pPr>
        <w:ind w:left="426"/>
        <w:rPr>
          <w:rFonts w:cstheme="minorHAnsi"/>
          <w:i/>
        </w:rPr>
      </w:pPr>
      <w:r w:rsidRPr="00F259E4">
        <w:rPr>
          <w:rFonts w:cstheme="minorHAnsi"/>
          <w:i/>
        </w:rPr>
        <w:t>More than one in five disengaged customers who took part in Ofgem’s trial of a simplified collective switch changed their energy deal, eight times the switching rate for customers who received no information through</w:t>
      </w:r>
      <w:r w:rsidR="00BE2C8F">
        <w:rPr>
          <w:rFonts w:cstheme="minorHAnsi"/>
          <w:i/>
        </w:rPr>
        <w:t xml:space="preserve"> the trial about better offers</w:t>
      </w:r>
      <w:r w:rsidRPr="00F259E4">
        <w:rPr>
          <w:rFonts w:cstheme="minorHAnsi"/>
          <w:i/>
        </w:rPr>
        <w:t>…</w:t>
      </w:r>
    </w:p>
    <w:p w14:paraId="52F4A3B5" w14:textId="1CB5664F" w:rsidR="00742906" w:rsidRPr="00F259E4" w:rsidRDefault="00742906" w:rsidP="00742906">
      <w:pPr>
        <w:shd w:val="clear" w:color="auto" w:fill="FFFFFF"/>
        <w:spacing w:after="240" w:line="240" w:lineRule="auto"/>
        <w:ind w:left="426"/>
        <w:rPr>
          <w:rFonts w:cstheme="minorHAnsi"/>
          <w:i/>
        </w:rPr>
      </w:pPr>
      <w:r w:rsidRPr="00F259E4">
        <w:rPr>
          <w:rFonts w:cstheme="minorHAnsi"/>
          <w:i/>
        </w:rPr>
        <w:t>Overall, 22.4% of customers in the trial switched. Customers who switched to a new tariff averaged savings of around £300*. Of these, approximately half chose the collective switch tariff. Just under a quarter moved to other cheaper deals through Energyhelpline, and the remainder chose another tariff without using the price comparison service. Almost a quarter of customers who switched either to the collective switch tariff or to other deals listed by Energyh</w:t>
      </w:r>
      <w:r w:rsidR="00BE2C8F">
        <w:rPr>
          <w:rFonts w:cstheme="minorHAnsi"/>
          <w:i/>
        </w:rPr>
        <w:t>elpline were over 75 years old</w:t>
      </w:r>
      <w:r w:rsidRPr="00F259E4">
        <w:rPr>
          <w:rFonts w:cstheme="minorHAnsi"/>
          <w:i/>
        </w:rPr>
        <w:t>…</w:t>
      </w:r>
    </w:p>
    <w:p w14:paraId="0E39359E" w14:textId="77777777" w:rsidR="00742906" w:rsidRPr="00F259E4" w:rsidRDefault="00742906" w:rsidP="00742906">
      <w:pPr>
        <w:shd w:val="clear" w:color="auto" w:fill="FFFFFF"/>
        <w:spacing w:after="240" w:line="240" w:lineRule="auto"/>
        <w:ind w:left="426"/>
        <w:rPr>
          <w:rFonts w:cstheme="minorHAnsi"/>
          <w:i/>
        </w:rPr>
      </w:pPr>
      <w:r w:rsidRPr="00F259E4">
        <w:rPr>
          <w:rFonts w:cstheme="minorHAnsi"/>
          <w:i/>
        </w:rPr>
        <w:t>The 22.4% overall switching rate in the trial compares to the 2.6% switching rate in the ‘trial control group’ of similarly disengaged customers who did not receive any information about the collective switch offer….”</w:t>
      </w:r>
    </w:p>
    <w:p w14:paraId="43CAA03A" w14:textId="028CC556" w:rsidR="00742906" w:rsidRPr="00F259E4" w:rsidRDefault="009E2C13" w:rsidP="00742906">
      <w:pPr>
        <w:rPr>
          <w:rFonts w:cstheme="minorHAnsi"/>
        </w:rPr>
      </w:pPr>
      <w:r>
        <w:rPr>
          <w:rFonts w:cstheme="minorHAnsi"/>
        </w:rPr>
        <w:t>Turning to Australia, t</w:t>
      </w:r>
      <w:r w:rsidR="00742906" w:rsidRPr="00F259E4">
        <w:rPr>
          <w:rFonts w:cstheme="minorHAnsi"/>
        </w:rPr>
        <w:t xml:space="preserve">he </w:t>
      </w:r>
      <w:r w:rsidR="009F11F8">
        <w:rPr>
          <w:rFonts w:cstheme="minorHAnsi"/>
        </w:rPr>
        <w:t>Victorian</w:t>
      </w:r>
      <w:r w:rsidR="00742906" w:rsidRPr="00F259E4">
        <w:rPr>
          <w:rFonts w:cstheme="minorHAnsi"/>
        </w:rPr>
        <w:t xml:space="preserve"> </w:t>
      </w:r>
      <w:r w:rsidR="009F11F8">
        <w:rPr>
          <w:rFonts w:cstheme="minorHAnsi"/>
        </w:rPr>
        <w:t>review</w:t>
      </w:r>
      <w:r w:rsidR="00742906" w:rsidRPr="00F259E4">
        <w:rPr>
          <w:rStyle w:val="FootnoteReference"/>
          <w:rFonts w:cstheme="minorHAnsi"/>
        </w:rPr>
        <w:footnoteReference w:id="28"/>
      </w:r>
      <w:r w:rsidR="00742906" w:rsidRPr="00F259E4">
        <w:rPr>
          <w:rFonts w:cstheme="minorHAnsi"/>
        </w:rPr>
        <w:t xml:space="preserve"> recommended a ‘no frills’ offer:</w:t>
      </w:r>
    </w:p>
    <w:p w14:paraId="4F71A2E4" w14:textId="78595DC8" w:rsidR="00742906" w:rsidRPr="00F259E4" w:rsidRDefault="00742906" w:rsidP="00742906">
      <w:pPr>
        <w:ind w:left="426"/>
        <w:rPr>
          <w:rFonts w:cstheme="minorHAnsi"/>
        </w:rPr>
      </w:pPr>
      <w:r w:rsidRPr="00F259E4">
        <w:rPr>
          <w:rFonts w:cstheme="minorHAnsi"/>
          <w:i/>
        </w:rPr>
        <w:lastRenderedPageBreak/>
        <w:t>“Key to the reforms is the implementation of a Basic Service Offer. This would require each retailer to provide a ‘no frills’ offer that does not exceed a regulated price. Consumers only interested in a basic ‘no frills’ service would have the option to select the Basic Service Offer and remain protected from the existing failures of the market. Retailers would be free to continue to offer additional offers at different prices which, may be lower than the ‘no frills’ option, or higher, to give consumers the choice to pay for any additional value offered by retailers. However, this Basic Service Offer would be available to all consumers and would represent a reasonable price of energy in the market. It would provide an option for consumers who just want affordable energy without the fuss.”</w:t>
      </w:r>
    </w:p>
    <w:p w14:paraId="1AAA8084" w14:textId="01A897CE" w:rsidR="00742906" w:rsidRPr="00401EF6" w:rsidRDefault="00742906" w:rsidP="00401EF6">
      <w:pPr>
        <w:pStyle w:val="Heading2"/>
      </w:pPr>
      <w:r w:rsidRPr="00457F1D">
        <w:t>Recommendation</w:t>
      </w:r>
      <w:r w:rsidR="004B225A">
        <w:t xml:space="preserve"> 4.1</w:t>
      </w:r>
      <w:r w:rsidR="00457F1D">
        <w:t>:</w:t>
      </w:r>
      <w:r w:rsidR="00401EF6">
        <w:t xml:space="preserve"> </w:t>
      </w:r>
      <w:r w:rsidR="00726323" w:rsidRPr="00726323">
        <w:t>That the government or the relevant regulator carry out further research and data analysis into the ‘two-tier’ market of consumers, including the characteristics of consumers who switch and don’t switch, and review solution options used successfully overseas.</w:t>
      </w:r>
      <w:r w:rsidRPr="00457F1D">
        <w:t xml:space="preserve"> </w:t>
      </w:r>
    </w:p>
    <w:p w14:paraId="1C4A9171" w14:textId="59A4707F" w:rsidR="00742906" w:rsidRPr="00825022" w:rsidRDefault="00742906" w:rsidP="00273087">
      <w:pPr>
        <w:pStyle w:val="ListParagraph"/>
        <w:numPr>
          <w:ilvl w:val="0"/>
          <w:numId w:val="52"/>
        </w:numPr>
        <w:spacing w:line="240" w:lineRule="auto"/>
        <w:ind w:left="850" w:hanging="425"/>
        <w:contextualSpacing w:val="0"/>
        <w:rPr>
          <w:rFonts w:cstheme="minorHAnsi"/>
        </w:rPr>
      </w:pPr>
      <w:r w:rsidRPr="00F259E4">
        <w:rPr>
          <w:rFonts w:cstheme="minorHAnsi"/>
        </w:rPr>
        <w:t xml:space="preserve">Finally, the </w:t>
      </w:r>
      <w:r w:rsidR="00F66A2B">
        <w:rPr>
          <w:rFonts w:cstheme="minorHAnsi"/>
        </w:rPr>
        <w:t>Panel</w:t>
      </w:r>
      <w:r w:rsidRPr="00F259E4">
        <w:rPr>
          <w:rFonts w:cstheme="minorHAnsi"/>
        </w:rPr>
        <w:t xml:space="preserve"> asked for comment on a perceived lack of standardisation in distributors’ contract terms and price structures, which “hindered competition”.</w:t>
      </w:r>
    </w:p>
    <w:p w14:paraId="4E2AB879" w14:textId="0F76ECC3" w:rsidR="00742906" w:rsidRPr="00825022" w:rsidRDefault="00742906" w:rsidP="00273087">
      <w:pPr>
        <w:pStyle w:val="ListParagraph"/>
        <w:numPr>
          <w:ilvl w:val="0"/>
          <w:numId w:val="52"/>
        </w:numPr>
        <w:spacing w:line="240" w:lineRule="auto"/>
        <w:ind w:left="851" w:hanging="425"/>
        <w:contextualSpacing w:val="0"/>
        <w:rPr>
          <w:rFonts w:eastAsia="Times New Roman" w:cstheme="minorHAnsi"/>
          <w:lang w:eastAsia="en-NZ"/>
        </w:rPr>
      </w:pPr>
      <w:r w:rsidRPr="00F259E4">
        <w:rPr>
          <w:rFonts w:cstheme="minorHAnsi"/>
        </w:rPr>
        <w:t xml:space="preserve">The ENA released a </w:t>
      </w:r>
      <w:hyperlink r:id="rId22" w:history="1">
        <w:r w:rsidRPr="00F259E4">
          <w:rPr>
            <w:rStyle w:val="Hyperlink"/>
            <w:rFonts w:cstheme="minorHAnsi"/>
          </w:rPr>
          <w:t>“Pricing guideline for electricity distributors”</w:t>
        </w:r>
      </w:hyperlink>
      <w:r w:rsidRPr="00F259E4">
        <w:rPr>
          <w:rFonts w:cstheme="minorHAnsi"/>
        </w:rPr>
        <w:t xml:space="preserve"> in November 2016 to help distributors align their pricing methods and definitions. </w:t>
      </w:r>
    </w:p>
    <w:p w14:paraId="3FEE8C55" w14:textId="58CB3892" w:rsidR="00742906" w:rsidRPr="00825022" w:rsidRDefault="00742906" w:rsidP="00273087">
      <w:pPr>
        <w:pStyle w:val="ListParagraph"/>
        <w:numPr>
          <w:ilvl w:val="0"/>
          <w:numId w:val="52"/>
        </w:numPr>
        <w:spacing w:line="240" w:lineRule="auto"/>
        <w:ind w:left="850" w:hanging="425"/>
        <w:contextualSpacing w:val="0"/>
        <w:rPr>
          <w:rFonts w:eastAsia="Times New Roman" w:cstheme="minorHAnsi"/>
          <w:lang w:eastAsia="en-NZ"/>
        </w:rPr>
      </w:pPr>
      <w:r w:rsidRPr="00F259E4">
        <w:rPr>
          <w:rFonts w:eastAsia="Times New Roman" w:cstheme="minorHAnsi"/>
          <w:lang w:eastAsia="en-NZ"/>
        </w:rPr>
        <w:t>Work on standardisation followed feedback on an Electricity Networks Association  distribution pricing consultation paper issued in May 2015. We listened to stakeholders who recommended a reduction in variance of pricing approaches across New Zealand’s 29 lines companies. They expressed a view that there were benefits in stable and standardised prices which were clear and simple.</w:t>
      </w:r>
    </w:p>
    <w:p w14:paraId="04F7FC28" w14:textId="1E0C4051" w:rsidR="00742906" w:rsidRPr="00825022" w:rsidRDefault="00742906" w:rsidP="00273087">
      <w:pPr>
        <w:pStyle w:val="ListParagraph"/>
        <w:numPr>
          <w:ilvl w:val="0"/>
          <w:numId w:val="52"/>
        </w:numPr>
        <w:spacing w:line="240" w:lineRule="auto"/>
        <w:ind w:left="851" w:hanging="425"/>
        <w:contextualSpacing w:val="0"/>
        <w:rPr>
          <w:rFonts w:eastAsia="Times New Roman" w:cstheme="minorHAnsi"/>
          <w:lang w:eastAsia="en-NZ"/>
        </w:rPr>
      </w:pPr>
      <w:r w:rsidRPr="00F259E4">
        <w:rPr>
          <w:rFonts w:eastAsia="Times New Roman" w:cstheme="minorHAnsi"/>
          <w:lang w:eastAsia="en-NZ"/>
        </w:rPr>
        <w:t>ENA understands that the guidelines have a high level of compliance.</w:t>
      </w:r>
    </w:p>
    <w:p w14:paraId="389133D1" w14:textId="25B7B5FE" w:rsidR="00742906" w:rsidRPr="00F259E4" w:rsidRDefault="00742906" w:rsidP="00273087">
      <w:pPr>
        <w:pStyle w:val="ListParagraph"/>
        <w:numPr>
          <w:ilvl w:val="0"/>
          <w:numId w:val="52"/>
        </w:numPr>
        <w:spacing w:after="0" w:line="240" w:lineRule="auto"/>
        <w:ind w:left="851" w:hanging="425"/>
        <w:contextualSpacing w:val="0"/>
        <w:rPr>
          <w:rFonts w:eastAsia="Times New Roman" w:cstheme="minorHAnsi"/>
          <w:lang w:eastAsia="en-NZ"/>
        </w:rPr>
      </w:pPr>
      <w:r w:rsidRPr="00F259E4">
        <w:rPr>
          <w:rFonts w:eastAsia="Times New Roman" w:cstheme="minorHAnsi"/>
          <w:lang w:eastAsia="en-NZ"/>
        </w:rPr>
        <w:t xml:space="preserve">If a lack of standardisation was hindering competition, we would expect to see few new retailers agreeing terms and conditions with distributors and entering the retail market. But we understand that there are approximately </w:t>
      </w:r>
      <w:r w:rsidR="001C7459">
        <w:rPr>
          <w:rFonts w:eastAsia="Times New Roman" w:cstheme="minorHAnsi"/>
          <w:lang w:eastAsia="en-NZ"/>
        </w:rPr>
        <w:t>40</w:t>
      </w:r>
      <w:r w:rsidRPr="00F259E4">
        <w:rPr>
          <w:rFonts w:eastAsia="Times New Roman" w:cstheme="minorHAnsi"/>
          <w:lang w:eastAsia="en-NZ"/>
        </w:rPr>
        <w:t xml:space="preserve"> retailers in the market. This high number would not appear to support the argument that lack of standardisation was a barrier to entry.</w:t>
      </w:r>
    </w:p>
    <w:p w14:paraId="357DB5FD" w14:textId="77777777" w:rsidR="00742906" w:rsidRPr="00F259E4" w:rsidRDefault="00742906" w:rsidP="00AB281E">
      <w:pPr>
        <w:pStyle w:val="ListParagraph"/>
        <w:spacing w:after="0" w:line="240" w:lineRule="auto"/>
        <w:ind w:left="851" w:hanging="425"/>
        <w:rPr>
          <w:rFonts w:eastAsia="Times New Roman" w:cstheme="minorHAnsi"/>
          <w:lang w:eastAsia="en-NZ"/>
        </w:rPr>
      </w:pPr>
    </w:p>
    <w:p w14:paraId="3CF29882" w14:textId="1596777F" w:rsidR="00353F76" w:rsidRPr="00EB53CE" w:rsidRDefault="00742906" w:rsidP="00273087">
      <w:pPr>
        <w:pStyle w:val="ListParagraph"/>
        <w:numPr>
          <w:ilvl w:val="0"/>
          <w:numId w:val="53"/>
        </w:numPr>
        <w:spacing w:after="240"/>
        <w:ind w:left="425" w:hanging="425"/>
        <w:contextualSpacing w:val="0"/>
        <w:jc w:val="both"/>
        <w:rPr>
          <w:rStyle w:val="Strong"/>
          <w:rFonts w:cstheme="minorHAnsi"/>
          <w:bCs w:val="0"/>
          <w:i w:val="0"/>
          <w:color w:val="000000" w:themeColor="text1"/>
          <w:sz w:val="22"/>
          <w:szCs w:val="22"/>
        </w:rPr>
      </w:pPr>
      <w:r w:rsidRPr="00457F1D">
        <w:rPr>
          <w:rStyle w:val="Strong"/>
          <w:rFonts w:cstheme="minorHAnsi"/>
          <w:i w:val="0"/>
          <w:color w:val="000000" w:themeColor="text1"/>
          <w:sz w:val="22"/>
          <w:szCs w:val="22"/>
        </w:rPr>
        <w:t>What are your views on the assessment of barriers to competition in retailing?</w:t>
      </w:r>
    </w:p>
    <w:p w14:paraId="39BF22D8" w14:textId="5CC0D104" w:rsidR="00353F76" w:rsidRPr="00353F76" w:rsidRDefault="00353F76" w:rsidP="00273087">
      <w:pPr>
        <w:pStyle w:val="ListParagraph"/>
        <w:numPr>
          <w:ilvl w:val="0"/>
          <w:numId w:val="44"/>
        </w:numPr>
        <w:spacing w:line="240" w:lineRule="auto"/>
        <w:ind w:left="850" w:hanging="425"/>
        <w:contextualSpacing w:val="0"/>
        <w:rPr>
          <w:rFonts w:cstheme="minorHAnsi"/>
          <w:lang w:val="en-US"/>
        </w:rPr>
      </w:pPr>
      <w:r>
        <w:rPr>
          <w:rFonts w:cstheme="minorHAnsi"/>
        </w:rPr>
        <w:t xml:space="preserve">We are aware of the Electricity Authority’s workstreams to closely examine the methods used by incumbent retailers to retain market share and support </w:t>
      </w:r>
      <w:r w:rsidR="00C73B87">
        <w:rPr>
          <w:rFonts w:cstheme="minorHAnsi"/>
        </w:rPr>
        <w:t>its</w:t>
      </w:r>
      <w:r>
        <w:rPr>
          <w:rFonts w:cstheme="minorHAnsi"/>
        </w:rPr>
        <w:t xml:space="preserve"> continuing work to identify mechanisms that could improve outcomes for consumers.  </w:t>
      </w:r>
    </w:p>
    <w:p w14:paraId="02664DD9" w14:textId="77777777" w:rsidR="00353F76" w:rsidRPr="00353F76" w:rsidRDefault="00353F76" w:rsidP="00273087">
      <w:pPr>
        <w:pStyle w:val="ListParagraph"/>
        <w:numPr>
          <w:ilvl w:val="0"/>
          <w:numId w:val="44"/>
        </w:numPr>
        <w:spacing w:line="240" w:lineRule="auto"/>
        <w:ind w:left="850" w:hanging="425"/>
        <w:contextualSpacing w:val="0"/>
        <w:rPr>
          <w:rFonts w:cstheme="minorHAnsi"/>
          <w:lang w:val="en-US"/>
        </w:rPr>
      </w:pPr>
      <w:r>
        <w:rPr>
          <w:rFonts w:cstheme="minorHAnsi"/>
        </w:rPr>
        <w:t xml:space="preserve">We think it is appropriate for the Electricity Authority to continue with its work, and to be the body responsible for designing any regulatory interventions if required. </w:t>
      </w:r>
    </w:p>
    <w:p w14:paraId="0E54A61E" w14:textId="0EC8C05D" w:rsidR="00353F76" w:rsidRPr="00353F76" w:rsidRDefault="00353F76" w:rsidP="00273087">
      <w:pPr>
        <w:pStyle w:val="ListParagraph"/>
        <w:numPr>
          <w:ilvl w:val="0"/>
          <w:numId w:val="44"/>
        </w:numPr>
        <w:ind w:left="851" w:hanging="425"/>
        <w:contextualSpacing w:val="0"/>
        <w:rPr>
          <w:rFonts w:cstheme="minorHAnsi"/>
          <w:lang w:val="en-US"/>
        </w:rPr>
      </w:pPr>
      <w:r>
        <w:rPr>
          <w:rFonts w:cstheme="minorHAnsi"/>
        </w:rPr>
        <w:t>Interventions would need to be carefully designed, as there is always the risk of un-intended consequences, or stifling of innovation if regulation determines the methods by which retailers must compete</w:t>
      </w:r>
      <w:r w:rsidR="00C73B87">
        <w:rPr>
          <w:rFonts w:cstheme="minorHAnsi"/>
        </w:rPr>
        <w:t>,</w:t>
      </w:r>
      <w:r>
        <w:rPr>
          <w:rFonts w:cstheme="minorHAnsi"/>
        </w:rPr>
        <w:t xml:space="preserve"> or offer particular tariffs. </w:t>
      </w:r>
    </w:p>
    <w:p w14:paraId="59FA56D2" w14:textId="6C6B2D57" w:rsidR="00742906" w:rsidRPr="00F259E4" w:rsidRDefault="00742906" w:rsidP="00273087">
      <w:pPr>
        <w:pStyle w:val="ListParagraph"/>
        <w:numPr>
          <w:ilvl w:val="0"/>
          <w:numId w:val="44"/>
        </w:numPr>
        <w:spacing w:after="360"/>
        <w:ind w:left="850" w:hanging="425"/>
        <w:contextualSpacing w:val="0"/>
        <w:rPr>
          <w:rFonts w:cstheme="minorHAnsi"/>
          <w:lang w:val="en-US"/>
        </w:rPr>
      </w:pPr>
      <w:r w:rsidRPr="00F259E4">
        <w:rPr>
          <w:rFonts w:cstheme="minorHAnsi"/>
          <w:lang w:val="en-US"/>
        </w:rPr>
        <w:lastRenderedPageBreak/>
        <w:t xml:space="preserve">The Electricity Authority has asked its Market Development Advisory Group (MDAG) to review the rules relating to saves and win-backs. This topic is divisive with strong views held by incumbent retailers versus new entrant retailers. </w:t>
      </w:r>
      <w:r w:rsidR="00C34E25" w:rsidRPr="00C34E25">
        <w:rPr>
          <w:rFonts w:cstheme="minorHAnsi"/>
          <w:lang w:val="en-US"/>
        </w:rPr>
        <w:t xml:space="preserve">We would note that the </w:t>
      </w:r>
      <w:r w:rsidR="00C34E25">
        <w:rPr>
          <w:rFonts w:cstheme="minorHAnsi"/>
          <w:lang w:val="en-US"/>
        </w:rPr>
        <w:t>MDAG</w:t>
      </w:r>
      <w:r w:rsidR="00C34E25" w:rsidRPr="00C34E25">
        <w:rPr>
          <w:rFonts w:cstheme="minorHAnsi"/>
          <w:lang w:val="en-US"/>
        </w:rPr>
        <w:t xml:space="preserve"> does not </w:t>
      </w:r>
      <w:r w:rsidR="00AC16CB">
        <w:rPr>
          <w:rFonts w:cstheme="minorHAnsi"/>
          <w:lang w:val="en-US"/>
        </w:rPr>
        <w:t xml:space="preserve">appear to </w:t>
      </w:r>
      <w:r w:rsidR="00C34E25" w:rsidRPr="00C34E25">
        <w:rPr>
          <w:rFonts w:cstheme="minorHAnsi"/>
          <w:lang w:val="en-US"/>
        </w:rPr>
        <w:t>include a new entrant retailer or a residential consumer representative.</w:t>
      </w:r>
    </w:p>
    <w:p w14:paraId="48639A1B" w14:textId="06D391FC" w:rsidR="004B225A" w:rsidRPr="00293B6B" w:rsidRDefault="00742906" w:rsidP="00293B6B">
      <w:pPr>
        <w:pStyle w:val="Heading2"/>
        <w:rPr>
          <w:lang w:val="en-US"/>
        </w:rPr>
      </w:pPr>
      <w:r w:rsidRPr="00D150BB">
        <w:rPr>
          <w:lang w:val="en-US"/>
        </w:rPr>
        <w:t>Recommendation</w:t>
      </w:r>
      <w:r w:rsidR="004B225A">
        <w:rPr>
          <w:lang w:val="en-US"/>
        </w:rPr>
        <w:t xml:space="preserve"> 4.2</w:t>
      </w:r>
      <w:r w:rsidR="00D150BB" w:rsidRPr="00D150BB">
        <w:rPr>
          <w:lang w:val="en-US"/>
        </w:rPr>
        <w:t>:</w:t>
      </w:r>
      <w:r w:rsidR="00293B6B">
        <w:rPr>
          <w:lang w:val="en-US"/>
        </w:rPr>
        <w:t xml:space="preserve"> </w:t>
      </w:r>
      <w:r w:rsidR="00CF417F" w:rsidRPr="00CF417F">
        <w:rPr>
          <w:lang w:val="en-US"/>
        </w:rPr>
        <w:t>ENA acknowledges concerns that ‘saves’ and ‘win-backs’ are an impediment to full and effective retail competition and consumer switching. We recommend and support the Electricity Authority’s continuing investigation into the practice.</w:t>
      </w:r>
      <w:r w:rsidR="00CF417F">
        <w:rPr>
          <w:lang w:val="en-US"/>
        </w:rPr>
        <w:t xml:space="preserve"> </w:t>
      </w:r>
    </w:p>
    <w:p w14:paraId="79EBE654" w14:textId="585F31C7" w:rsidR="00742906" w:rsidRPr="00C863A1" w:rsidRDefault="00742906" w:rsidP="00273087">
      <w:pPr>
        <w:pStyle w:val="ListParagraph"/>
        <w:numPr>
          <w:ilvl w:val="0"/>
          <w:numId w:val="53"/>
        </w:numPr>
        <w:spacing w:after="240"/>
        <w:ind w:left="425" w:hanging="425"/>
        <w:contextualSpacing w:val="0"/>
        <w:rPr>
          <w:rStyle w:val="Strong"/>
          <w:rFonts w:cstheme="minorHAnsi"/>
          <w:bCs w:val="0"/>
          <w:sz w:val="24"/>
          <w:szCs w:val="22"/>
        </w:rPr>
      </w:pPr>
      <w:r w:rsidRPr="00D150BB">
        <w:rPr>
          <w:rStyle w:val="Strong"/>
          <w:rFonts w:cstheme="minorHAnsi"/>
          <w:i w:val="0"/>
          <w:color w:val="000000" w:themeColor="text1"/>
          <w:sz w:val="22"/>
          <w:szCs w:val="22"/>
        </w:rPr>
        <w:t>What are your views on the assessment of vertical integration and the contract market?</w:t>
      </w:r>
    </w:p>
    <w:p w14:paraId="69F01DF9" w14:textId="77777777" w:rsidR="00742906" w:rsidRPr="00F259E4" w:rsidRDefault="00742906" w:rsidP="00742906">
      <w:pPr>
        <w:jc w:val="both"/>
        <w:rPr>
          <w:rFonts w:cstheme="minorHAnsi"/>
          <w:b/>
          <w:color w:val="000000" w:themeColor="text1"/>
        </w:rPr>
      </w:pPr>
      <w:r w:rsidRPr="00F259E4">
        <w:rPr>
          <w:rFonts w:cstheme="minorHAnsi"/>
          <w:b/>
          <w:color w:val="000000" w:themeColor="text1"/>
        </w:rPr>
        <w:t>Issues with the hedge or futures market</w:t>
      </w:r>
    </w:p>
    <w:p w14:paraId="0706DF0F" w14:textId="0B65A1E4" w:rsidR="00742906" w:rsidRPr="00825022" w:rsidRDefault="00742906" w:rsidP="00273087">
      <w:pPr>
        <w:pStyle w:val="ListParagraph"/>
        <w:numPr>
          <w:ilvl w:val="0"/>
          <w:numId w:val="45"/>
        </w:numPr>
        <w:ind w:left="851" w:hanging="425"/>
        <w:contextualSpacing w:val="0"/>
        <w:rPr>
          <w:rFonts w:cstheme="minorHAnsi"/>
          <w:lang w:val="en-US"/>
        </w:rPr>
      </w:pPr>
      <w:r w:rsidRPr="00F259E4">
        <w:rPr>
          <w:rFonts w:cstheme="minorHAnsi"/>
          <w:lang w:val="en-US"/>
        </w:rPr>
        <w:t>The EPR Report</w:t>
      </w:r>
      <w:r w:rsidRPr="00F259E4">
        <w:rPr>
          <w:rStyle w:val="FootnoteReference"/>
          <w:rFonts w:cstheme="minorHAnsi"/>
          <w:lang w:val="en-US"/>
        </w:rPr>
        <w:footnoteReference w:id="29"/>
      </w:r>
      <w:r w:rsidRPr="00F259E4">
        <w:rPr>
          <w:rFonts w:cstheme="minorHAnsi"/>
          <w:lang w:val="en-US"/>
        </w:rPr>
        <w:t xml:space="preserve"> states “</w:t>
      </w:r>
      <w:r w:rsidRPr="00F259E4">
        <w:rPr>
          <w:rFonts w:cstheme="minorHAnsi"/>
          <w:i/>
          <w:lang w:val="en-US"/>
        </w:rPr>
        <w:t>Retailers buy electricity in bulk at wholesale prices</w:t>
      </w:r>
      <w:r w:rsidRPr="00F259E4">
        <w:rPr>
          <w:rFonts w:cstheme="minorHAnsi"/>
          <w:lang w:val="en-US"/>
        </w:rPr>
        <w:t xml:space="preserve"> …”.  More specifically</w:t>
      </w:r>
      <w:r w:rsidR="00DE7843">
        <w:rPr>
          <w:rFonts w:cstheme="minorHAnsi"/>
          <w:lang w:val="en-US"/>
        </w:rPr>
        <w:t>,</w:t>
      </w:r>
      <w:r w:rsidRPr="00F259E4">
        <w:rPr>
          <w:rFonts w:cstheme="minorHAnsi"/>
          <w:lang w:val="en-US"/>
        </w:rPr>
        <w:t xml:space="preserve"> independent retailers rely on being able to purchase electricity for resale to customers on the wholesale spot, ‘over-the-counter’ and ASX futures market to buy electricity for on-sale to customers</w:t>
      </w:r>
      <w:r w:rsidR="007F318F">
        <w:rPr>
          <w:rFonts w:cstheme="minorHAnsi"/>
          <w:lang w:val="en-US"/>
        </w:rPr>
        <w:t xml:space="preserve">. </w:t>
      </w:r>
      <w:r w:rsidR="007C2AD5">
        <w:rPr>
          <w:rFonts w:cstheme="minorHAnsi"/>
          <w:lang w:val="en-US"/>
        </w:rPr>
        <w:t xml:space="preserve">This is because small retailers do not have generation plant </w:t>
      </w:r>
      <w:r w:rsidR="009A6CBA">
        <w:rPr>
          <w:rFonts w:cstheme="minorHAnsi"/>
          <w:lang w:val="en-US"/>
        </w:rPr>
        <w:t>and are therefore not ‘vertically integrated’.</w:t>
      </w:r>
    </w:p>
    <w:p w14:paraId="1DE8E9EA" w14:textId="44437A89" w:rsidR="00742906" w:rsidRPr="00825022" w:rsidRDefault="00742906" w:rsidP="00273087">
      <w:pPr>
        <w:pStyle w:val="ListParagraph"/>
        <w:numPr>
          <w:ilvl w:val="0"/>
          <w:numId w:val="45"/>
        </w:numPr>
        <w:ind w:left="851" w:hanging="425"/>
        <w:contextualSpacing w:val="0"/>
        <w:rPr>
          <w:rFonts w:cstheme="minorHAnsi"/>
          <w:lang w:val="en-US"/>
        </w:rPr>
      </w:pPr>
      <w:r w:rsidRPr="00F259E4">
        <w:rPr>
          <w:rFonts w:cstheme="minorHAnsi"/>
          <w:lang w:val="en-US"/>
        </w:rPr>
        <w:t xml:space="preserve">The IEA said that while small independent retailers have emerged, offering a range of innovative products and services, retailers needed better access to financial markets.  </w:t>
      </w:r>
    </w:p>
    <w:p w14:paraId="58CED338" w14:textId="0DAE8A1D" w:rsidR="00742906" w:rsidRPr="00825022" w:rsidRDefault="00742906" w:rsidP="00273087">
      <w:pPr>
        <w:pStyle w:val="ListParagraph"/>
        <w:numPr>
          <w:ilvl w:val="0"/>
          <w:numId w:val="45"/>
        </w:numPr>
        <w:ind w:left="851" w:hanging="425"/>
        <w:contextualSpacing w:val="0"/>
        <w:rPr>
          <w:rFonts w:cstheme="minorHAnsi"/>
          <w:lang w:val="en-US"/>
        </w:rPr>
      </w:pPr>
      <w:r w:rsidRPr="00F259E4">
        <w:rPr>
          <w:rFonts w:cstheme="minorHAnsi"/>
        </w:rPr>
        <w:t xml:space="preserve">The IEA observed that overall liquidity in financial markets and </w:t>
      </w:r>
      <w:r w:rsidR="00DE3469">
        <w:rPr>
          <w:rFonts w:cstheme="minorHAnsi"/>
        </w:rPr>
        <w:t xml:space="preserve">the </w:t>
      </w:r>
      <w:r w:rsidRPr="00F259E4">
        <w:rPr>
          <w:rFonts w:cstheme="minorHAnsi"/>
        </w:rPr>
        <w:t>product range remain limited</w:t>
      </w:r>
      <w:r w:rsidRPr="00F259E4">
        <w:rPr>
          <w:rStyle w:val="FootnoteReference"/>
          <w:rFonts w:cstheme="minorHAnsi"/>
        </w:rPr>
        <w:footnoteReference w:id="30"/>
      </w:r>
      <w:r w:rsidRPr="00F259E4">
        <w:rPr>
          <w:rFonts w:cstheme="minorHAnsi"/>
        </w:rPr>
        <w:t>. It recommended</w:t>
      </w:r>
      <w:r w:rsidRPr="00F259E4">
        <w:rPr>
          <w:rStyle w:val="FootnoteReference"/>
          <w:rFonts w:cstheme="minorHAnsi"/>
        </w:rPr>
        <w:footnoteReference w:id="31"/>
      </w:r>
      <w:r w:rsidRPr="00F259E4">
        <w:rPr>
          <w:rFonts w:cstheme="minorHAnsi"/>
        </w:rPr>
        <w:t xml:space="preserve"> government continue to foster well-functioning wholesale and retail electricity markets, power system flexibility</w:t>
      </w:r>
      <w:r w:rsidR="00DE3469">
        <w:rPr>
          <w:rFonts w:cstheme="minorHAnsi"/>
        </w:rPr>
        <w:t>,</w:t>
      </w:r>
      <w:r w:rsidRPr="00F259E4">
        <w:rPr>
          <w:rFonts w:cstheme="minorHAnsi"/>
        </w:rPr>
        <w:t xml:space="preserve"> and thus security of supply</w:t>
      </w:r>
      <w:r w:rsidR="00DE3469">
        <w:rPr>
          <w:rFonts w:cstheme="minorHAnsi"/>
        </w:rPr>
        <w:t>,</w:t>
      </w:r>
      <w:r w:rsidRPr="00F259E4">
        <w:rPr>
          <w:rFonts w:cstheme="minorHAnsi"/>
        </w:rPr>
        <w:t xml:space="preserve"> by accelerating steps towards a liquid and deep financial market</w:t>
      </w:r>
      <w:r w:rsidR="00DE3469">
        <w:rPr>
          <w:rFonts w:cstheme="minorHAnsi"/>
        </w:rPr>
        <w:t>.</w:t>
      </w:r>
      <w:r w:rsidRPr="00F259E4">
        <w:rPr>
          <w:rFonts w:cstheme="minorHAnsi"/>
        </w:rPr>
        <w:t xml:space="preserve"> </w:t>
      </w:r>
      <w:r w:rsidR="004E61CC">
        <w:rPr>
          <w:rFonts w:cstheme="minorHAnsi"/>
        </w:rPr>
        <w:t xml:space="preserve">This would result in </w:t>
      </w:r>
      <w:r w:rsidRPr="00F259E4">
        <w:rPr>
          <w:rFonts w:cstheme="minorHAnsi"/>
        </w:rPr>
        <w:t>efficient risk management for wholesale and retail market participants.</w:t>
      </w:r>
    </w:p>
    <w:p w14:paraId="736BFF42" w14:textId="3B7E107C" w:rsidR="00742906" w:rsidRPr="00825022" w:rsidRDefault="00742906" w:rsidP="00273087">
      <w:pPr>
        <w:pStyle w:val="ListParagraph"/>
        <w:numPr>
          <w:ilvl w:val="0"/>
          <w:numId w:val="45"/>
        </w:numPr>
        <w:ind w:left="851" w:hanging="425"/>
        <w:contextualSpacing w:val="0"/>
        <w:rPr>
          <w:rFonts w:cstheme="minorHAnsi"/>
          <w:lang w:val="en-US"/>
        </w:rPr>
      </w:pPr>
      <w:r w:rsidRPr="00F259E4">
        <w:rPr>
          <w:rFonts w:cstheme="minorHAnsi"/>
          <w:lang w:val="en-US"/>
        </w:rPr>
        <w:t>Market participants have expressed concerns that the hedge or futures market is volatile and that hedge contracts cost more than they would in a more efficient market. They have also raised concerns about the spread between buy and sell prices, which can be as high as the retailer margin.</w:t>
      </w:r>
    </w:p>
    <w:p w14:paraId="112C8589" w14:textId="583903B3" w:rsidR="00742906" w:rsidRPr="00F259E4" w:rsidRDefault="00742906" w:rsidP="00273087">
      <w:pPr>
        <w:pStyle w:val="ListParagraph"/>
        <w:numPr>
          <w:ilvl w:val="0"/>
          <w:numId w:val="45"/>
        </w:numPr>
        <w:ind w:left="851" w:hanging="425"/>
        <w:rPr>
          <w:rFonts w:cstheme="minorHAnsi"/>
          <w:lang w:val="en-US"/>
        </w:rPr>
      </w:pPr>
      <w:r w:rsidRPr="00F259E4">
        <w:rPr>
          <w:rFonts w:cstheme="minorHAnsi"/>
          <w:lang w:val="en-US"/>
        </w:rPr>
        <w:t>EnergyLink Managing Director, Greg Sise was quoted in Energy News on 31 August 2018</w:t>
      </w:r>
      <w:r w:rsidRPr="00F259E4">
        <w:rPr>
          <w:rStyle w:val="FootnoteReference"/>
          <w:rFonts w:cstheme="minorHAnsi"/>
          <w:lang w:val="en-US"/>
        </w:rPr>
        <w:footnoteReference w:id="32"/>
      </w:r>
    </w:p>
    <w:p w14:paraId="740B844D" w14:textId="77777777" w:rsidR="00742906" w:rsidRPr="00F259E4" w:rsidRDefault="00742906" w:rsidP="00742906">
      <w:pPr>
        <w:jc w:val="center"/>
        <w:rPr>
          <w:rFonts w:cstheme="minorHAnsi"/>
          <w:lang w:val="en-US"/>
        </w:rPr>
      </w:pPr>
      <w:r w:rsidRPr="00F259E4">
        <w:rPr>
          <w:rFonts w:cstheme="minorHAnsi"/>
          <w:noProof/>
          <w:lang w:val="en-GB" w:eastAsia="en-GB"/>
        </w:rPr>
        <w:drawing>
          <wp:inline distT="0" distB="0" distL="0" distR="0" wp14:anchorId="36BA69D8" wp14:editId="287B4FE6">
            <wp:extent cx="5731510" cy="2628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2890"/>
                    </a:xfrm>
                    <a:prstGeom prst="rect">
                      <a:avLst/>
                    </a:prstGeom>
                  </pic:spPr>
                </pic:pic>
              </a:graphicData>
            </a:graphic>
          </wp:inline>
        </w:drawing>
      </w:r>
    </w:p>
    <w:p w14:paraId="78DF6C44" w14:textId="77777777" w:rsidR="00742906" w:rsidRPr="00F259E4" w:rsidRDefault="00742906" w:rsidP="00742906">
      <w:pPr>
        <w:rPr>
          <w:rFonts w:cstheme="minorHAnsi"/>
          <w:lang w:val="en-US"/>
        </w:rPr>
      </w:pPr>
      <w:r w:rsidRPr="00F259E4">
        <w:rPr>
          <w:rFonts w:cstheme="minorHAnsi"/>
          <w:lang w:val="en-US"/>
        </w:rPr>
        <w:t>Pioneer Energy noted</w:t>
      </w:r>
      <w:r w:rsidRPr="00F259E4">
        <w:rPr>
          <w:rStyle w:val="FootnoteReference"/>
          <w:rFonts w:cstheme="minorHAnsi"/>
          <w:lang w:val="en-US"/>
        </w:rPr>
        <w:footnoteReference w:id="33"/>
      </w:r>
      <w:r w:rsidRPr="00F259E4">
        <w:rPr>
          <w:rFonts w:cstheme="minorHAnsi"/>
          <w:lang w:val="en-US"/>
        </w:rPr>
        <w:t>:</w:t>
      </w:r>
    </w:p>
    <w:p w14:paraId="2E4954EE" w14:textId="77777777" w:rsidR="00742906" w:rsidRPr="00F259E4" w:rsidRDefault="00742906" w:rsidP="00742906">
      <w:pPr>
        <w:jc w:val="center"/>
        <w:rPr>
          <w:rFonts w:cstheme="minorHAnsi"/>
          <w:lang w:val="en-US"/>
        </w:rPr>
      </w:pPr>
      <w:r w:rsidRPr="00F259E4">
        <w:rPr>
          <w:rFonts w:cstheme="minorHAnsi"/>
          <w:noProof/>
          <w:lang w:val="en-GB" w:eastAsia="en-GB"/>
        </w:rPr>
        <w:lastRenderedPageBreak/>
        <w:drawing>
          <wp:inline distT="0" distB="0" distL="0" distR="0" wp14:anchorId="1DB4E886" wp14:editId="40491879">
            <wp:extent cx="5581650"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650" cy="3133725"/>
                    </a:xfrm>
                    <a:prstGeom prst="rect">
                      <a:avLst/>
                    </a:prstGeom>
                  </pic:spPr>
                </pic:pic>
              </a:graphicData>
            </a:graphic>
          </wp:inline>
        </w:drawing>
      </w:r>
    </w:p>
    <w:p w14:paraId="4E4BFB69" w14:textId="1E4FBD33" w:rsidR="00742906" w:rsidRPr="00F259E4" w:rsidRDefault="00742906" w:rsidP="00742906">
      <w:pPr>
        <w:rPr>
          <w:rFonts w:cstheme="minorHAnsi"/>
          <w:lang w:val="en-US"/>
        </w:rPr>
      </w:pPr>
      <w:r w:rsidRPr="00F259E4">
        <w:rPr>
          <w:rFonts w:cstheme="minorHAnsi"/>
          <w:lang w:val="en-US"/>
        </w:rPr>
        <w:t>Ecotricity noted in a submission on the Customer Compensation Scheme</w:t>
      </w:r>
      <w:r w:rsidRPr="00F259E4">
        <w:rPr>
          <w:rStyle w:val="FootnoteReference"/>
          <w:rFonts w:cstheme="minorHAnsi"/>
          <w:lang w:val="en-US"/>
        </w:rPr>
        <w:footnoteReference w:id="34"/>
      </w:r>
      <w:r w:rsidR="004E61CC">
        <w:rPr>
          <w:rFonts w:cstheme="minorHAnsi"/>
          <w:lang w:val="en-US"/>
        </w:rPr>
        <w:t>:</w:t>
      </w:r>
    </w:p>
    <w:p w14:paraId="53F8D9E3" w14:textId="77777777" w:rsidR="00742906" w:rsidRPr="00F259E4" w:rsidRDefault="00742906" w:rsidP="00742906">
      <w:pPr>
        <w:ind w:left="142"/>
        <w:rPr>
          <w:rFonts w:cstheme="minorHAnsi"/>
          <w:lang w:val="en-US"/>
        </w:rPr>
      </w:pPr>
      <w:r w:rsidRPr="00F259E4">
        <w:rPr>
          <w:rFonts w:cstheme="minorHAnsi"/>
          <w:noProof/>
          <w:lang w:val="en-GB" w:eastAsia="en-GB"/>
        </w:rPr>
        <w:drawing>
          <wp:inline distT="0" distB="0" distL="0" distR="0" wp14:anchorId="4F3CB1D9" wp14:editId="667FAE24">
            <wp:extent cx="5731510" cy="23583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58390"/>
                    </a:xfrm>
                    <a:prstGeom prst="rect">
                      <a:avLst/>
                    </a:prstGeom>
                  </pic:spPr>
                </pic:pic>
              </a:graphicData>
            </a:graphic>
          </wp:inline>
        </w:drawing>
      </w:r>
    </w:p>
    <w:p w14:paraId="11B2DF23" w14:textId="77777777" w:rsidR="00AB281E" w:rsidRDefault="00AB281E">
      <w:pPr>
        <w:rPr>
          <w:rFonts w:cstheme="minorHAnsi"/>
          <w:lang w:val="en-US"/>
        </w:rPr>
      </w:pPr>
      <w:r>
        <w:rPr>
          <w:rFonts w:cstheme="minorHAnsi"/>
          <w:lang w:val="en-US"/>
        </w:rPr>
        <w:br w:type="page"/>
      </w:r>
    </w:p>
    <w:p w14:paraId="0CCBC524" w14:textId="194388F8" w:rsidR="00742906" w:rsidRPr="00F259E4" w:rsidRDefault="00742906" w:rsidP="00273087">
      <w:pPr>
        <w:pStyle w:val="ListParagraph"/>
        <w:numPr>
          <w:ilvl w:val="0"/>
          <w:numId w:val="46"/>
        </w:numPr>
        <w:ind w:left="850" w:hanging="425"/>
        <w:contextualSpacing w:val="0"/>
        <w:rPr>
          <w:rFonts w:cstheme="minorHAnsi"/>
          <w:lang w:val="en-US"/>
        </w:rPr>
      </w:pPr>
      <w:r w:rsidRPr="00F259E4">
        <w:rPr>
          <w:rFonts w:cstheme="minorHAnsi"/>
          <w:lang w:val="en-US"/>
        </w:rPr>
        <w:lastRenderedPageBreak/>
        <w:t>The volume of trades on a</w:t>
      </w:r>
      <w:r w:rsidR="00C1602F">
        <w:rPr>
          <w:rFonts w:cstheme="minorHAnsi"/>
          <w:lang w:val="en-US"/>
        </w:rPr>
        <w:t>ny</w:t>
      </w:r>
      <w:r w:rsidRPr="00F259E4">
        <w:rPr>
          <w:rFonts w:cstheme="minorHAnsi"/>
          <w:lang w:val="en-US"/>
        </w:rPr>
        <w:t xml:space="preserve"> hedge market relative to total physical volumes traded (also known as the churn rate) is an international measure of the liquidity or success of a hedge market to support risk management. According to Ofgem “a higher churn indicates that it is easier for participants to trade and that they are often re-trading in order to optimise their positions before final delivery”.</w:t>
      </w:r>
      <w:r w:rsidRPr="00F259E4">
        <w:rPr>
          <w:rStyle w:val="FootnoteReference"/>
          <w:rFonts w:cstheme="minorHAnsi"/>
          <w:lang w:val="en-US"/>
        </w:rPr>
        <w:t xml:space="preserve"> </w:t>
      </w:r>
      <w:r w:rsidRPr="00F259E4">
        <w:rPr>
          <w:rStyle w:val="FootnoteReference"/>
          <w:rFonts w:cstheme="minorHAnsi"/>
          <w:lang w:val="en-US"/>
        </w:rPr>
        <w:footnoteReference w:id="35"/>
      </w:r>
      <w:r w:rsidRPr="00F259E4">
        <w:rPr>
          <w:rFonts w:cstheme="minorHAnsi"/>
          <w:lang w:val="en-US"/>
        </w:rPr>
        <w:t xml:space="preserve">  </w:t>
      </w:r>
    </w:p>
    <w:p w14:paraId="0056AA3C" w14:textId="76067B77" w:rsidR="00742906" w:rsidRDefault="00742906" w:rsidP="00273087">
      <w:pPr>
        <w:pStyle w:val="ListParagraph"/>
        <w:numPr>
          <w:ilvl w:val="0"/>
          <w:numId w:val="46"/>
        </w:numPr>
        <w:ind w:left="851" w:hanging="425"/>
        <w:rPr>
          <w:rFonts w:cstheme="minorHAnsi"/>
          <w:lang w:val="en-US"/>
        </w:rPr>
      </w:pPr>
      <w:r w:rsidRPr="00F259E4">
        <w:rPr>
          <w:rFonts w:cstheme="minorHAnsi"/>
          <w:lang w:val="en-US"/>
        </w:rPr>
        <w:t xml:space="preserve">The following graph compares </w:t>
      </w:r>
      <w:r w:rsidR="00320AC7">
        <w:rPr>
          <w:rFonts w:cstheme="minorHAnsi"/>
          <w:lang w:val="en-US"/>
        </w:rPr>
        <w:t>New Zealand’s</w:t>
      </w:r>
      <w:r w:rsidRPr="00F259E4">
        <w:rPr>
          <w:rFonts w:cstheme="minorHAnsi"/>
          <w:lang w:val="en-US"/>
        </w:rPr>
        <w:t xml:space="preserve"> electricity futures market traded on the ASX with the Australian electricity hedge market – also traded on the ASX. Data for the PJM</w:t>
      </w:r>
      <w:r w:rsidRPr="00F259E4">
        <w:rPr>
          <w:rStyle w:val="FootnoteReference"/>
          <w:rFonts w:cstheme="minorHAnsi"/>
          <w:lang w:val="en-US"/>
        </w:rPr>
        <w:footnoteReference w:id="36"/>
      </w:r>
      <w:r w:rsidRPr="00F259E4">
        <w:rPr>
          <w:rFonts w:cstheme="minorHAnsi"/>
          <w:lang w:val="en-US"/>
        </w:rPr>
        <w:t xml:space="preserve"> market in the US is also included. This market is highly competitive and referred to by the Electricity Authority as an exemplar.</w:t>
      </w:r>
      <w:r w:rsidRPr="00F259E4">
        <w:rPr>
          <w:rStyle w:val="FootnoteReference"/>
          <w:rFonts w:cstheme="minorHAnsi"/>
          <w:lang w:val="en-US"/>
        </w:rPr>
        <w:footnoteReference w:id="37"/>
      </w:r>
      <w:r w:rsidRPr="00F259E4">
        <w:rPr>
          <w:rFonts w:cstheme="minorHAnsi"/>
          <w:lang w:val="en-US"/>
        </w:rPr>
        <w:t xml:space="preserve">   </w:t>
      </w:r>
    </w:p>
    <w:p w14:paraId="513F5365" w14:textId="77777777" w:rsidR="001F098C" w:rsidRPr="00F259E4" w:rsidRDefault="001F098C" w:rsidP="001F098C">
      <w:pPr>
        <w:pStyle w:val="ListParagraph"/>
        <w:ind w:left="851"/>
        <w:rPr>
          <w:rFonts w:cstheme="minorHAnsi"/>
          <w:lang w:val="en-US"/>
        </w:rPr>
      </w:pPr>
    </w:p>
    <w:p w14:paraId="3C793C62" w14:textId="74856714" w:rsidR="00742906" w:rsidRPr="00F259E4" w:rsidRDefault="00742906" w:rsidP="00F66E41">
      <w:pPr>
        <w:jc w:val="center"/>
        <w:rPr>
          <w:rFonts w:cstheme="minorHAnsi"/>
          <w:lang w:val="en-US"/>
        </w:rPr>
      </w:pPr>
      <w:r w:rsidRPr="00F259E4">
        <w:rPr>
          <w:rFonts w:cstheme="minorHAnsi"/>
          <w:noProof/>
          <w:lang w:val="en-GB" w:eastAsia="en-GB"/>
        </w:rPr>
        <w:drawing>
          <wp:inline distT="0" distB="0" distL="0" distR="0" wp14:anchorId="4B4892E3" wp14:editId="1714BBF3">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0E5B92" w14:textId="494B3A65" w:rsidR="00742906" w:rsidRPr="00F259E4" w:rsidRDefault="00742906" w:rsidP="00273087">
      <w:pPr>
        <w:pStyle w:val="ListParagraph"/>
        <w:numPr>
          <w:ilvl w:val="0"/>
          <w:numId w:val="47"/>
        </w:numPr>
        <w:ind w:left="851" w:hanging="425"/>
        <w:rPr>
          <w:rFonts w:cstheme="minorHAnsi"/>
          <w:lang w:val="en-US"/>
        </w:rPr>
      </w:pPr>
      <w:r w:rsidRPr="00F259E4">
        <w:rPr>
          <w:rFonts w:cstheme="minorHAnsi"/>
          <w:lang w:val="en-US"/>
        </w:rPr>
        <w:t xml:space="preserve">Similarly, data from Ofgem </w:t>
      </w:r>
      <w:r w:rsidR="00320AC7">
        <w:rPr>
          <w:rFonts w:cstheme="minorHAnsi"/>
          <w:lang w:val="en-US"/>
        </w:rPr>
        <w:t xml:space="preserve">in Britain </w:t>
      </w:r>
      <w:r w:rsidRPr="00F259E4">
        <w:rPr>
          <w:rFonts w:cstheme="minorHAnsi"/>
          <w:lang w:val="en-US"/>
        </w:rPr>
        <w:t>shows monthly churn rates averaging between two to five times physical volumes – not as high as PJM, but similar to Australia and well above New Zealand.</w:t>
      </w:r>
    </w:p>
    <w:p w14:paraId="4BDB9F2B" w14:textId="721FF517" w:rsidR="00742906" w:rsidRPr="00F259E4" w:rsidRDefault="00742906" w:rsidP="00742906">
      <w:pPr>
        <w:jc w:val="center"/>
        <w:rPr>
          <w:rFonts w:cstheme="minorHAnsi"/>
          <w:lang w:val="en-US"/>
        </w:rPr>
      </w:pPr>
    </w:p>
    <w:p w14:paraId="545CAD14" w14:textId="77777777" w:rsidR="0081344F" w:rsidRDefault="0081344F" w:rsidP="00742906">
      <w:pPr>
        <w:rPr>
          <w:rFonts w:cstheme="minorHAnsi"/>
          <w:lang w:val="en-US"/>
        </w:rPr>
      </w:pPr>
    </w:p>
    <w:p w14:paraId="0268AA2B" w14:textId="77777777" w:rsidR="0081344F" w:rsidRDefault="0081344F" w:rsidP="00742906">
      <w:pPr>
        <w:rPr>
          <w:rFonts w:cstheme="minorHAnsi"/>
          <w:lang w:val="en-US"/>
        </w:rPr>
      </w:pPr>
    </w:p>
    <w:p w14:paraId="0454D531" w14:textId="2F6242E9" w:rsidR="0081344F" w:rsidRDefault="0081344F" w:rsidP="00742906">
      <w:pPr>
        <w:rPr>
          <w:rFonts w:cstheme="minorHAnsi"/>
          <w:lang w:val="en-US"/>
        </w:rPr>
      </w:pPr>
    </w:p>
    <w:p w14:paraId="45837AAA" w14:textId="1E62596F" w:rsidR="0081344F" w:rsidRDefault="00D25352" w:rsidP="00742906">
      <w:pPr>
        <w:rPr>
          <w:rFonts w:cstheme="minorHAnsi"/>
          <w:lang w:val="en-US"/>
        </w:rPr>
      </w:pPr>
      <w:r w:rsidRPr="00F259E4">
        <w:rPr>
          <w:rFonts w:cstheme="minorHAnsi"/>
          <w:noProof/>
          <w:lang w:val="en-GB" w:eastAsia="en-GB"/>
        </w:rPr>
        <w:lastRenderedPageBreak/>
        <w:drawing>
          <wp:anchor distT="0" distB="0" distL="114300" distR="114300" simplePos="0" relativeHeight="251658253" behindDoc="0" locked="0" layoutInCell="1" allowOverlap="1" wp14:anchorId="667EDCD0" wp14:editId="2768FE08">
            <wp:simplePos x="0" y="0"/>
            <wp:positionH relativeFrom="column">
              <wp:posOffset>236855</wp:posOffset>
            </wp:positionH>
            <wp:positionV relativeFrom="paragraph">
              <wp:posOffset>231893</wp:posOffset>
            </wp:positionV>
            <wp:extent cx="5198110" cy="2980055"/>
            <wp:effectExtent l="0" t="0" r="8890" b="0"/>
            <wp:wrapTight wrapText="bothSides">
              <wp:wrapPolygon edited="0">
                <wp:start x="0" y="0"/>
                <wp:lineTo x="0" y="21356"/>
                <wp:lineTo x="21531" y="21356"/>
                <wp:lineTo x="21531" y="0"/>
                <wp:lineTo x="0" y="0"/>
              </wp:wrapPolygon>
            </wp:wrapTight>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6580" b="12180"/>
                    <a:stretch/>
                  </pic:blipFill>
                  <pic:spPr bwMode="auto">
                    <a:xfrm>
                      <a:off x="0" y="0"/>
                      <a:ext cx="5198110" cy="298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val="en-GB" w:eastAsia="en-GB"/>
        </w:rPr>
        <mc:AlternateContent>
          <mc:Choice Requires="wps">
            <w:drawing>
              <wp:anchor distT="0" distB="0" distL="114300" distR="114300" simplePos="0" relativeHeight="251658254" behindDoc="0" locked="0" layoutInCell="1" allowOverlap="1" wp14:anchorId="31183AF6" wp14:editId="3E0DA69B">
                <wp:simplePos x="0" y="0"/>
                <wp:positionH relativeFrom="column">
                  <wp:posOffset>-112395</wp:posOffset>
                </wp:positionH>
                <wp:positionV relativeFrom="paragraph">
                  <wp:posOffset>-223402</wp:posOffset>
                </wp:positionV>
                <wp:extent cx="6127115"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12711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9B228F" w14:textId="51B0E33F" w:rsidR="009E312C" w:rsidRPr="00D25352" w:rsidRDefault="009E312C" w:rsidP="00D25352">
                            <w:pPr>
                              <w:pStyle w:val="Heading3"/>
                              <w:rPr>
                                <w:lang w:val="en-US"/>
                              </w:rPr>
                            </w:pPr>
                            <w:r w:rsidRPr="00D25352">
                              <w:rPr>
                                <w:lang w:val="en-US"/>
                              </w:rPr>
                              <w:t xml:space="preserve">Figure 9 – Monthly </w:t>
                            </w:r>
                            <w:r>
                              <w:rPr>
                                <w:lang w:val="en-US"/>
                              </w:rPr>
                              <w:t>c</w:t>
                            </w:r>
                            <w:r w:rsidRPr="00D25352">
                              <w:rPr>
                                <w:lang w:val="en-US"/>
                              </w:rPr>
                              <w:t>hurn</w:t>
                            </w:r>
                            <w:r>
                              <w:rPr>
                                <w:lang w:val="en-US"/>
                              </w:rPr>
                              <w:t xml:space="preserve"> of trades in Britain</w:t>
                            </w:r>
                          </w:p>
                          <w:p w14:paraId="55898C82" w14:textId="77777777" w:rsidR="009E312C" w:rsidRPr="00D25352" w:rsidRDefault="009E312C" w:rsidP="00D25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83AF6" id="Text Box 3" o:spid="_x0000_s1030" type="#_x0000_t202" style="position:absolute;margin-left:-8.85pt;margin-top:-17.6pt;width:482.45pt;height:36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" filled="f" stroked="f">
                <v:textbox>
                  <w:txbxContent>
                    <w:p w14:paraId="379B228F" w14:textId="51B0E33F" w:rsidR="009E312C" w:rsidRPr="00D25352" w:rsidRDefault="009E312C" w:rsidP="00D25352">
                      <w:pPr>
                        <w:pStyle w:val="Heading3"/>
                        <w:rPr>
                          <w:lang w:val="en-US"/>
                        </w:rPr>
                      </w:pPr>
                      <w:r w:rsidRPr="00D25352">
                        <w:rPr>
                          <w:lang w:val="en-US"/>
                        </w:rPr>
                        <w:t xml:space="preserve">Figure 9 – Monthly </w:t>
                      </w:r>
                      <w:r>
                        <w:rPr>
                          <w:lang w:val="en-US"/>
                        </w:rPr>
                        <w:t>c</w:t>
                      </w:r>
                      <w:r w:rsidRPr="00D25352">
                        <w:rPr>
                          <w:lang w:val="en-US"/>
                        </w:rPr>
                        <w:t>hurn</w:t>
                      </w:r>
                      <w:r>
                        <w:rPr>
                          <w:lang w:val="en-US"/>
                        </w:rPr>
                        <w:t xml:space="preserve"> of trades in Britain</w:t>
                      </w:r>
                    </w:p>
                    <w:p w14:paraId="55898C82" w14:textId="77777777" w:rsidR="009E312C" w:rsidRPr="00D25352" w:rsidRDefault="009E312C" w:rsidP="00D25352"/>
                  </w:txbxContent>
                </v:textbox>
                <w10:wrap type="square"/>
              </v:shape>
            </w:pict>
          </mc:Fallback>
        </mc:AlternateContent>
      </w:r>
    </w:p>
    <w:p w14:paraId="6005AFA0" w14:textId="585EBAE6" w:rsidR="0081344F" w:rsidRDefault="0081344F" w:rsidP="00742906">
      <w:pPr>
        <w:rPr>
          <w:rFonts w:cstheme="minorHAnsi"/>
          <w:lang w:val="en-US"/>
        </w:rPr>
      </w:pPr>
    </w:p>
    <w:p w14:paraId="552F82E9" w14:textId="5FC1F913" w:rsidR="0081344F" w:rsidRDefault="0081344F" w:rsidP="00742906">
      <w:pPr>
        <w:rPr>
          <w:rFonts w:cstheme="minorHAnsi"/>
          <w:lang w:val="en-US"/>
        </w:rPr>
      </w:pPr>
    </w:p>
    <w:p w14:paraId="1ABE132B" w14:textId="4C949F3D" w:rsidR="0081344F" w:rsidRDefault="0081344F" w:rsidP="00742906">
      <w:pPr>
        <w:rPr>
          <w:rFonts w:cstheme="minorHAnsi"/>
          <w:lang w:val="en-US"/>
        </w:rPr>
      </w:pPr>
    </w:p>
    <w:p w14:paraId="08F20907" w14:textId="4637B34C" w:rsidR="0081344F" w:rsidRDefault="0081344F" w:rsidP="00742906">
      <w:pPr>
        <w:rPr>
          <w:rFonts w:cstheme="minorHAnsi"/>
          <w:lang w:val="en-US"/>
        </w:rPr>
      </w:pPr>
    </w:p>
    <w:p w14:paraId="4851120E" w14:textId="54B8176B" w:rsidR="0081344F" w:rsidRDefault="0081344F" w:rsidP="00742906">
      <w:pPr>
        <w:rPr>
          <w:rFonts w:cstheme="minorHAnsi"/>
          <w:lang w:val="en-US"/>
        </w:rPr>
      </w:pPr>
    </w:p>
    <w:p w14:paraId="692E8BFC" w14:textId="4B7D239E" w:rsidR="0081344F" w:rsidRDefault="0081344F" w:rsidP="00742906">
      <w:pPr>
        <w:rPr>
          <w:rFonts w:cstheme="minorHAnsi"/>
          <w:lang w:val="en-US"/>
        </w:rPr>
      </w:pPr>
    </w:p>
    <w:p w14:paraId="39BD27C7" w14:textId="720D8BD3" w:rsidR="0081344F" w:rsidRDefault="0081344F" w:rsidP="00742906">
      <w:pPr>
        <w:rPr>
          <w:rFonts w:cstheme="minorHAnsi"/>
          <w:lang w:val="en-US"/>
        </w:rPr>
      </w:pPr>
    </w:p>
    <w:p w14:paraId="1DD668F4" w14:textId="7603BE88" w:rsidR="0081344F" w:rsidRDefault="00D25352" w:rsidP="00742906">
      <w:pPr>
        <w:rPr>
          <w:rFonts w:cstheme="minorHAnsi"/>
          <w:lang w:val="en-US"/>
        </w:rPr>
      </w:pPr>
      <w:r>
        <w:rPr>
          <w:rFonts w:cstheme="minorHAnsi"/>
          <w:noProof/>
          <w:lang w:val="en-GB" w:eastAsia="en-GB"/>
        </w:rPr>
        <mc:AlternateContent>
          <mc:Choice Requires="wps">
            <w:drawing>
              <wp:anchor distT="0" distB="0" distL="114300" distR="114300" simplePos="0" relativeHeight="251658252" behindDoc="0" locked="0" layoutInCell="1" allowOverlap="1" wp14:anchorId="6547AB84" wp14:editId="1C8699AC">
                <wp:simplePos x="0" y="0"/>
                <wp:positionH relativeFrom="column">
                  <wp:posOffset>93980</wp:posOffset>
                </wp:positionH>
                <wp:positionV relativeFrom="paragraph">
                  <wp:posOffset>391278</wp:posOffset>
                </wp:positionV>
                <wp:extent cx="6127115"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12711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E9357A" w14:textId="2E27771B" w:rsidR="009E312C" w:rsidRPr="00D25352" w:rsidRDefault="009E312C" w:rsidP="005302F9">
                            <w:pPr>
                              <w:pStyle w:val="Heading3"/>
                              <w:rPr>
                                <w:b w:val="0"/>
                                <w:sz w:val="19"/>
                                <w:szCs w:val="19"/>
                                <w:lang w:val="en-US"/>
                              </w:rPr>
                            </w:pPr>
                            <w:r w:rsidRPr="00D25352">
                              <w:rPr>
                                <w:b w:val="0"/>
                                <w:sz w:val="19"/>
                                <w:szCs w:val="19"/>
                                <w:lang w:val="en-US"/>
                              </w:rPr>
                              <w:t>Source: DUKES, ICIS Energy, APX, NPS, ICE, Traded Volume consists of total OTC and exchange trading.</w:t>
                            </w:r>
                          </w:p>
                          <w:p w14:paraId="7F2B3938" w14:textId="77777777" w:rsidR="009E312C" w:rsidRPr="00D25352" w:rsidRDefault="009E312C" w:rsidP="00D25352">
                            <w:pPr>
                              <w:pStyle w:val="Heading3"/>
                              <w:rPr>
                                <w:sz w:val="19"/>
                                <w:szCs w:val="19"/>
                                <w:lang w:val="en-US"/>
                              </w:rPr>
                            </w:pPr>
                            <w:r w:rsidRPr="00D25352">
                              <w:rPr>
                                <w:b w:val="0"/>
                                <w:bCs w:val="0"/>
                                <w:sz w:val="19"/>
                                <w:szCs w:val="19"/>
                                <w:lang w:val="en-US"/>
                              </w:rPr>
                              <w:t>igure 13 – Bid-offer spreads</w:t>
                            </w:r>
                          </w:p>
                          <w:p w14:paraId="49CB5352" w14:textId="77777777" w:rsidR="009E312C" w:rsidRPr="00D25352" w:rsidRDefault="009E312C">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7AB84" id="Text Box 24" o:spid="_x0000_s1031" type="#_x0000_t202" style="position:absolute;margin-left:7.4pt;margin-top:30.8pt;width:482.45pt;height:3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" filled="f" stroked="f">
                <v:textbox>
                  <w:txbxContent>
                    <w:p w14:paraId="0CE9357A" w14:textId="2E27771B" w:rsidR="009E312C" w:rsidRPr="00D25352" w:rsidRDefault="009E312C" w:rsidP="005302F9">
                      <w:pPr>
                        <w:pStyle w:val="Heading3"/>
                        <w:rPr>
                          <w:b w:val="0"/>
                          <w:sz w:val="19"/>
                          <w:szCs w:val="19"/>
                          <w:lang w:val="en-US"/>
                        </w:rPr>
                      </w:pPr>
                      <w:r w:rsidRPr="00D25352">
                        <w:rPr>
                          <w:b w:val="0"/>
                          <w:sz w:val="19"/>
                          <w:szCs w:val="19"/>
                          <w:lang w:val="en-US"/>
                        </w:rPr>
                        <w:t>Source: DUKES, ICIS Energy, APX, NPS, ICE, Traded Volume consists of total OTC and exchange trading.</w:t>
                      </w:r>
                    </w:p>
                    <w:p w14:paraId="7F2B3938" w14:textId="77777777" w:rsidR="009E312C" w:rsidRPr="00D25352" w:rsidRDefault="009E312C" w:rsidP="00D25352">
                      <w:pPr>
                        <w:pStyle w:val="Heading3"/>
                        <w:rPr>
                          <w:sz w:val="19"/>
                          <w:szCs w:val="19"/>
                          <w:lang w:val="en-US"/>
                        </w:rPr>
                      </w:pPr>
                      <w:r w:rsidRPr="00D25352">
                        <w:rPr>
                          <w:b w:val="0"/>
                          <w:bCs w:val="0"/>
                          <w:sz w:val="19"/>
                          <w:szCs w:val="19"/>
                          <w:lang w:val="en-US"/>
                        </w:rPr>
                        <w:t>igure 13 – Bid-offer spreads</w:t>
                      </w:r>
                    </w:p>
                    <w:p w14:paraId="49CB5352" w14:textId="77777777" w:rsidR="009E312C" w:rsidRPr="00D25352" w:rsidRDefault="009E312C">
                      <w:pPr>
                        <w:rPr>
                          <w:sz w:val="19"/>
                          <w:szCs w:val="19"/>
                        </w:rPr>
                      </w:pPr>
                    </w:p>
                  </w:txbxContent>
                </v:textbox>
                <w10:wrap type="square"/>
              </v:shape>
            </w:pict>
          </mc:Fallback>
        </mc:AlternateContent>
      </w:r>
    </w:p>
    <w:p w14:paraId="43761820" w14:textId="4ED13209" w:rsidR="00742906" w:rsidRPr="00F259E4" w:rsidRDefault="00742906" w:rsidP="00D25352">
      <w:pPr>
        <w:spacing w:before="240"/>
        <w:rPr>
          <w:rFonts w:cstheme="minorHAnsi"/>
          <w:lang w:val="en-US"/>
        </w:rPr>
      </w:pPr>
      <w:r w:rsidRPr="00F259E4">
        <w:rPr>
          <w:rFonts w:cstheme="minorHAnsi"/>
          <w:lang w:val="en-US"/>
        </w:rPr>
        <w:t>Ofgem comment on the data:</w:t>
      </w:r>
    </w:p>
    <w:p w14:paraId="248865DC" w14:textId="15816DA3" w:rsidR="00742906" w:rsidRPr="00F259E4" w:rsidRDefault="00742906" w:rsidP="00742906">
      <w:pPr>
        <w:ind w:left="284"/>
        <w:rPr>
          <w:rFonts w:cstheme="minorHAnsi"/>
          <w:i/>
          <w:lang w:val="en-US"/>
        </w:rPr>
      </w:pPr>
      <w:r w:rsidRPr="00F259E4">
        <w:rPr>
          <w:rFonts w:cstheme="minorHAnsi"/>
          <w:i/>
        </w:rPr>
        <w:t>“Our data shows an overall higher year-on-year trend in churn. This was positive for liquidity as it shows there may have been more participants willing to trade and hedge their positions in the market.”</w:t>
      </w:r>
    </w:p>
    <w:p w14:paraId="1FB8616C" w14:textId="620754C2" w:rsidR="00742906" w:rsidRPr="00F259E4" w:rsidRDefault="00742906" w:rsidP="00273087">
      <w:pPr>
        <w:pStyle w:val="ListParagraph"/>
        <w:numPr>
          <w:ilvl w:val="0"/>
          <w:numId w:val="47"/>
        </w:numPr>
        <w:ind w:left="851" w:hanging="425"/>
        <w:rPr>
          <w:rFonts w:cstheme="minorHAnsi"/>
          <w:lang w:val="en-US"/>
        </w:rPr>
      </w:pPr>
      <w:r w:rsidRPr="00F259E4">
        <w:rPr>
          <w:rFonts w:cstheme="minorHAnsi"/>
          <w:lang w:val="en-US"/>
        </w:rPr>
        <w:t xml:space="preserve">Another important signal of the success of a futures market is the spread between the buy and sell prices. The </w:t>
      </w:r>
      <w:r w:rsidR="00A51E67">
        <w:rPr>
          <w:rFonts w:cstheme="minorHAnsi"/>
          <w:lang w:val="en-US"/>
        </w:rPr>
        <w:t>Panel’s issues paper</w:t>
      </w:r>
      <w:r w:rsidRPr="00F259E4">
        <w:rPr>
          <w:rStyle w:val="FootnoteReference"/>
          <w:rFonts w:cstheme="minorHAnsi"/>
          <w:lang w:val="en-US"/>
        </w:rPr>
        <w:footnoteReference w:id="38"/>
      </w:r>
      <w:r w:rsidRPr="00F259E4">
        <w:rPr>
          <w:rFonts w:cstheme="minorHAnsi"/>
          <w:lang w:val="en-US"/>
        </w:rPr>
        <w:t xml:space="preserve"> acknowledges this:</w:t>
      </w:r>
    </w:p>
    <w:p w14:paraId="7F7E1E0F" w14:textId="4E3791FB" w:rsidR="00742906" w:rsidRPr="00F259E4" w:rsidRDefault="00742906" w:rsidP="00742906">
      <w:pPr>
        <w:jc w:val="center"/>
        <w:rPr>
          <w:rFonts w:cstheme="minorHAnsi"/>
          <w:lang w:val="en-US"/>
        </w:rPr>
      </w:pPr>
    </w:p>
    <w:p w14:paraId="530833B3" w14:textId="4E10FE10" w:rsidR="005302F9" w:rsidRDefault="005302F9" w:rsidP="00742906">
      <w:pPr>
        <w:rPr>
          <w:rFonts w:cstheme="minorHAnsi"/>
          <w:lang w:val="en-US"/>
        </w:rPr>
      </w:pPr>
    </w:p>
    <w:p w14:paraId="7CB445B2" w14:textId="7880BB3B" w:rsidR="005302F9" w:rsidRDefault="005302F9" w:rsidP="00742906">
      <w:pPr>
        <w:rPr>
          <w:rFonts w:cstheme="minorHAnsi"/>
          <w:lang w:val="en-US"/>
        </w:rPr>
      </w:pPr>
    </w:p>
    <w:p w14:paraId="6041C260" w14:textId="77777777" w:rsidR="007C2024" w:rsidRDefault="007C2024" w:rsidP="00742906">
      <w:pPr>
        <w:rPr>
          <w:rFonts w:cstheme="minorHAnsi"/>
          <w:lang w:val="en-US"/>
        </w:rPr>
      </w:pPr>
    </w:p>
    <w:p w14:paraId="55CAD2D0" w14:textId="77777777" w:rsidR="007C2024" w:rsidRDefault="007C2024" w:rsidP="00742906">
      <w:pPr>
        <w:rPr>
          <w:rFonts w:cstheme="minorHAnsi"/>
          <w:lang w:val="en-US"/>
        </w:rPr>
      </w:pPr>
    </w:p>
    <w:p w14:paraId="61064BA7" w14:textId="77777777" w:rsidR="007C2024" w:rsidRDefault="007C2024" w:rsidP="00742906">
      <w:pPr>
        <w:rPr>
          <w:rFonts w:cstheme="minorHAnsi"/>
          <w:lang w:val="en-US"/>
        </w:rPr>
      </w:pPr>
    </w:p>
    <w:p w14:paraId="49913A8E" w14:textId="77777777" w:rsidR="007C2024" w:rsidRDefault="007C2024" w:rsidP="00742906">
      <w:pPr>
        <w:rPr>
          <w:rFonts w:cstheme="minorHAnsi"/>
          <w:lang w:val="en-US"/>
        </w:rPr>
      </w:pPr>
    </w:p>
    <w:p w14:paraId="63804136" w14:textId="77777777" w:rsidR="007C2024" w:rsidRDefault="007C2024" w:rsidP="00742906">
      <w:pPr>
        <w:rPr>
          <w:rFonts w:cstheme="minorHAnsi"/>
          <w:lang w:val="en-US"/>
        </w:rPr>
      </w:pPr>
    </w:p>
    <w:p w14:paraId="3DA9CD2F" w14:textId="24033FA7" w:rsidR="007C2024" w:rsidRDefault="007C2024" w:rsidP="00742906">
      <w:pPr>
        <w:rPr>
          <w:rFonts w:cstheme="minorHAnsi"/>
          <w:lang w:val="en-US"/>
        </w:rPr>
      </w:pPr>
    </w:p>
    <w:p w14:paraId="36314F4E" w14:textId="58801A16" w:rsidR="007C2024" w:rsidRDefault="00ED7E34" w:rsidP="00742906">
      <w:pPr>
        <w:rPr>
          <w:rFonts w:cstheme="minorHAnsi"/>
          <w:lang w:val="en-US"/>
        </w:rPr>
      </w:pPr>
      <w:r>
        <w:rPr>
          <w:rFonts w:cstheme="minorHAnsi"/>
          <w:noProof/>
          <w:lang w:val="en-GB" w:eastAsia="en-GB"/>
        </w:rPr>
        <w:lastRenderedPageBreak/>
        <mc:AlternateContent>
          <mc:Choice Requires="wps">
            <w:drawing>
              <wp:anchor distT="0" distB="0" distL="114300" distR="114300" simplePos="0" relativeHeight="251658255" behindDoc="1" locked="0" layoutInCell="1" allowOverlap="1" wp14:anchorId="3B62D731" wp14:editId="421F83A0">
                <wp:simplePos x="0" y="0"/>
                <wp:positionH relativeFrom="column">
                  <wp:posOffset>25400</wp:posOffset>
                </wp:positionH>
                <wp:positionV relativeFrom="paragraph">
                  <wp:posOffset>914400</wp:posOffset>
                </wp:positionV>
                <wp:extent cx="5234305" cy="345440"/>
                <wp:effectExtent l="0" t="0" r="0" b="10160"/>
                <wp:wrapNone/>
                <wp:docPr id="9" name="Text Box 9"/>
                <wp:cNvGraphicFramePr/>
                <a:graphic xmlns:a="http://schemas.openxmlformats.org/drawingml/2006/main">
                  <a:graphicData uri="http://schemas.microsoft.com/office/word/2010/wordprocessingShape">
                    <wps:wsp>
                      <wps:cNvSpPr txBox="1"/>
                      <wps:spPr>
                        <a:xfrm>
                          <a:off x="0" y="0"/>
                          <a:ext cx="52343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393B0" w14:textId="52ADDD78" w:rsidR="009E312C" w:rsidRPr="009F3FDF" w:rsidRDefault="009E312C" w:rsidP="009F3FDF">
                            <w:pPr>
                              <w:rPr>
                                <w:b/>
                                <w:lang w:val="en-AU"/>
                              </w:rPr>
                            </w:pPr>
                            <w:r w:rsidRPr="009F3FDF">
                              <w:rPr>
                                <w:b/>
                                <w:lang w:val="en-AU"/>
                              </w:rPr>
                              <w:t xml:space="preserve">Figure 19 </w:t>
                            </w:r>
                            <w:r w:rsidRPr="009F3FDF">
                              <w:rPr>
                                <w:b/>
                                <w:lang w:val="en-US"/>
                              </w:rPr>
                              <w:t>– Spread between contract buy and sell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D731" id="Text Box 9" o:spid="_x0000_s1032" type="#_x0000_t202" style="position:absolute;margin-left:2pt;margin-top:1in;width:412.15pt;height:27.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Dheg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" filled="f" stroked="f">
                <v:textbox>
                  <w:txbxContent>
                    <w:p w14:paraId="088393B0" w14:textId="52ADDD78" w:rsidR="009E312C" w:rsidRPr="009F3FDF" w:rsidRDefault="009E312C" w:rsidP="009F3FDF">
                      <w:pPr>
                        <w:rPr>
                          <w:b/>
                          <w:lang w:val="en-AU"/>
                        </w:rPr>
                      </w:pPr>
                      <w:r w:rsidRPr="009F3FDF">
                        <w:rPr>
                          <w:b/>
                          <w:lang w:val="en-AU"/>
                        </w:rPr>
                        <w:t xml:space="preserve">Figure 19 </w:t>
                      </w:r>
                      <w:r w:rsidRPr="009F3FDF">
                        <w:rPr>
                          <w:b/>
                          <w:lang w:val="en-US"/>
                        </w:rPr>
                        <w:t>– Spread between contract buy and sell prices</w:t>
                      </w:r>
                    </w:p>
                  </w:txbxContent>
                </v:textbox>
              </v:shape>
            </w:pict>
          </mc:Fallback>
        </mc:AlternateContent>
      </w:r>
      <w:r w:rsidR="007C2024">
        <w:rPr>
          <w:rFonts w:cstheme="minorHAnsi"/>
          <w:noProof/>
          <w:lang w:val="en-GB" w:eastAsia="en-GB"/>
        </w:rPr>
        <mc:AlternateContent>
          <mc:Choice Requires="wps">
            <w:drawing>
              <wp:anchor distT="0" distB="0" distL="114300" distR="114300" simplePos="0" relativeHeight="251658250" behindDoc="1" locked="0" layoutInCell="1" allowOverlap="1" wp14:anchorId="47D33E7F" wp14:editId="1212B745">
                <wp:simplePos x="0" y="0"/>
                <wp:positionH relativeFrom="column">
                  <wp:posOffset>96520</wp:posOffset>
                </wp:positionH>
                <wp:positionV relativeFrom="paragraph">
                  <wp:posOffset>4004945</wp:posOffset>
                </wp:positionV>
                <wp:extent cx="5234400" cy="572400"/>
                <wp:effectExtent l="0" t="0" r="0" b="12065"/>
                <wp:wrapNone/>
                <wp:docPr id="22" name="Text Box 22"/>
                <wp:cNvGraphicFramePr/>
                <a:graphic xmlns:a="http://schemas.openxmlformats.org/drawingml/2006/main">
                  <a:graphicData uri="http://schemas.microsoft.com/office/word/2010/wordprocessingShape">
                    <wps:wsp>
                      <wps:cNvSpPr txBox="1"/>
                      <wps:spPr>
                        <a:xfrm>
                          <a:off x="0" y="0"/>
                          <a:ext cx="5234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1BBA05" w14:textId="685E1F58" w:rsidR="009E312C" w:rsidRPr="005302F9" w:rsidRDefault="009E312C">
                            <w:pPr>
                              <w:rPr>
                                <w:sz w:val="19"/>
                                <w:szCs w:val="19"/>
                                <w:lang w:val="en-AU"/>
                              </w:rPr>
                            </w:pPr>
                            <w:r w:rsidRPr="005302F9">
                              <w:rPr>
                                <w:sz w:val="19"/>
                                <w:szCs w:val="19"/>
                                <w:lang w:val="en-AU"/>
                              </w:rPr>
                              <w:t>Source: ASX. Note: average spread at the end of each trading day for the nearest three-monthly futures contracts for Benmore on the ASX.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3E7F" id="Text Box 22" o:spid="_x0000_s1033" type="#_x0000_t202" style="position:absolute;margin-left:7.6pt;margin-top:315.35pt;width:412.15pt;height:45.0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" filled="f" stroked="f">
                <v:textbox>
                  <w:txbxContent>
                    <w:p w14:paraId="5E1BBA05" w14:textId="685E1F58" w:rsidR="009E312C" w:rsidRPr="005302F9" w:rsidRDefault="009E312C">
                      <w:pPr>
                        <w:rPr>
                          <w:sz w:val="19"/>
                          <w:szCs w:val="19"/>
                          <w:lang w:val="en-AU"/>
                        </w:rPr>
                      </w:pPr>
                      <w:r w:rsidRPr="005302F9">
                        <w:rPr>
                          <w:sz w:val="19"/>
                          <w:szCs w:val="19"/>
                          <w:lang w:val="en-AU"/>
                        </w:rPr>
                        <w:t>Source: ASX. Note: average spread at the end of each trading day for the nearest three-monthly futures contracts for Benmore on the ASX.</w:t>
                      </w:r>
                    </w:p>
                  </w:txbxContent>
                </v:textbox>
              </v:shape>
            </w:pict>
          </mc:Fallback>
        </mc:AlternateContent>
      </w:r>
      <w:r w:rsidR="007C2024" w:rsidRPr="00F259E4">
        <w:rPr>
          <w:rFonts w:cstheme="minorHAnsi"/>
          <w:noProof/>
          <w:lang w:val="en-GB" w:eastAsia="en-GB"/>
        </w:rPr>
        <w:drawing>
          <wp:anchor distT="0" distB="0" distL="114300" distR="114300" simplePos="0" relativeHeight="251658256" behindDoc="0" locked="0" layoutInCell="1" allowOverlap="0" wp14:anchorId="4F397336" wp14:editId="4575B461">
            <wp:simplePos x="0" y="0"/>
            <wp:positionH relativeFrom="column">
              <wp:posOffset>27305</wp:posOffset>
            </wp:positionH>
            <wp:positionV relativeFrom="paragraph">
              <wp:posOffset>1243330</wp:posOffset>
            </wp:positionV>
            <wp:extent cx="5010785" cy="276479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25024" b="11209"/>
                    <a:stretch/>
                  </pic:blipFill>
                  <pic:spPr bwMode="auto">
                    <a:xfrm>
                      <a:off x="0" y="0"/>
                      <a:ext cx="5010785" cy="276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024" w:rsidRPr="00F259E4">
        <w:rPr>
          <w:rFonts w:cstheme="minorHAnsi"/>
          <w:noProof/>
          <w:lang w:val="en-GB" w:eastAsia="en-GB"/>
        </w:rPr>
        <w:drawing>
          <wp:anchor distT="0" distB="0" distL="114300" distR="114300" simplePos="0" relativeHeight="251658257" behindDoc="0" locked="0" layoutInCell="1" allowOverlap="1" wp14:anchorId="36DE914A" wp14:editId="65672712">
            <wp:simplePos x="0" y="0"/>
            <wp:positionH relativeFrom="column">
              <wp:posOffset>20320</wp:posOffset>
            </wp:positionH>
            <wp:positionV relativeFrom="paragraph">
              <wp:posOffset>1905</wp:posOffset>
            </wp:positionV>
            <wp:extent cx="5010785" cy="827405"/>
            <wp:effectExtent l="0" t="0" r="0" b="1079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80864"/>
                    <a:stretch/>
                  </pic:blipFill>
                  <pic:spPr bwMode="auto">
                    <a:xfrm>
                      <a:off x="0" y="0"/>
                      <a:ext cx="5010785"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C24E7" w14:textId="7D8D0AD4" w:rsidR="007C2024" w:rsidRDefault="007C2024" w:rsidP="00742906">
      <w:pPr>
        <w:rPr>
          <w:rFonts w:cstheme="minorHAnsi"/>
          <w:lang w:val="en-US"/>
        </w:rPr>
      </w:pPr>
    </w:p>
    <w:p w14:paraId="533FC9A1" w14:textId="6F70AC3B" w:rsidR="007C2024" w:rsidRDefault="007C2024" w:rsidP="00742906">
      <w:pPr>
        <w:rPr>
          <w:rFonts w:cstheme="minorHAnsi"/>
          <w:lang w:val="en-US"/>
        </w:rPr>
      </w:pPr>
    </w:p>
    <w:p w14:paraId="2798A144" w14:textId="77777777" w:rsidR="00143153" w:rsidRPr="00F259E4" w:rsidRDefault="00143153" w:rsidP="00143153">
      <w:pPr>
        <w:pStyle w:val="Heading2"/>
        <w:rPr>
          <w:lang w:val="en-US"/>
        </w:rPr>
      </w:pPr>
      <w:r>
        <w:rPr>
          <w:lang w:val="en-US"/>
        </w:rPr>
        <w:t>Bid-offer spreads</w:t>
      </w:r>
    </w:p>
    <w:p w14:paraId="24541DA3" w14:textId="31BF4F79" w:rsidR="00742906" w:rsidRDefault="00742906" w:rsidP="00742906">
      <w:pPr>
        <w:rPr>
          <w:rFonts w:cstheme="minorHAnsi"/>
          <w:lang w:val="en-US"/>
        </w:rPr>
      </w:pPr>
      <w:r w:rsidRPr="00F259E4">
        <w:rPr>
          <w:rFonts w:cstheme="minorHAnsi"/>
          <w:lang w:val="en-US"/>
        </w:rPr>
        <w:t>The same Ofgem report</w:t>
      </w:r>
      <w:r w:rsidRPr="00F259E4">
        <w:rPr>
          <w:rStyle w:val="FootnoteReference"/>
          <w:rFonts w:cstheme="minorHAnsi"/>
          <w:lang w:val="en-US"/>
        </w:rPr>
        <w:footnoteReference w:id="39"/>
      </w:r>
      <w:r w:rsidRPr="00F259E4">
        <w:rPr>
          <w:rFonts w:cstheme="minorHAnsi"/>
          <w:lang w:val="en-US"/>
        </w:rPr>
        <w:t xml:space="preserve"> describes the importance of tight spreads and analyses bid-offer spreads in the UK market:</w:t>
      </w:r>
    </w:p>
    <w:p w14:paraId="4A01B72D" w14:textId="77777777" w:rsidR="00742906" w:rsidRPr="00F259E4" w:rsidRDefault="00742906" w:rsidP="00742906">
      <w:pPr>
        <w:rPr>
          <w:rFonts w:cstheme="minorHAnsi"/>
          <w:lang w:val="en-US"/>
        </w:rPr>
      </w:pPr>
      <w:r w:rsidRPr="00F259E4">
        <w:rPr>
          <w:rFonts w:cstheme="minorHAnsi"/>
          <w:noProof/>
          <w:lang w:val="en-GB" w:eastAsia="en-GB"/>
        </w:rPr>
        <w:drawing>
          <wp:inline distT="0" distB="0" distL="0" distR="0" wp14:anchorId="376B80D9" wp14:editId="05587D32">
            <wp:extent cx="5619750" cy="1010536"/>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826"/>
                    <a:stretch/>
                  </pic:blipFill>
                  <pic:spPr bwMode="auto">
                    <a:xfrm>
                      <a:off x="0" y="0"/>
                      <a:ext cx="5619750" cy="1010536"/>
                    </a:xfrm>
                    <a:prstGeom prst="rect">
                      <a:avLst/>
                    </a:prstGeom>
                    <a:ln>
                      <a:noFill/>
                    </a:ln>
                    <a:extLst>
                      <a:ext uri="{53640926-AAD7-44D8-BBD7-CCE9431645EC}">
                        <a14:shadowObscured xmlns:a14="http://schemas.microsoft.com/office/drawing/2010/main"/>
                      </a:ext>
                    </a:extLst>
                  </pic:spPr>
                </pic:pic>
              </a:graphicData>
            </a:graphic>
          </wp:inline>
        </w:drawing>
      </w:r>
    </w:p>
    <w:p w14:paraId="3EDD25B2" w14:textId="77777777" w:rsidR="00742906" w:rsidRPr="00F259E4" w:rsidRDefault="00742906" w:rsidP="00742906">
      <w:pPr>
        <w:rPr>
          <w:rFonts w:cstheme="minorHAnsi"/>
          <w:lang w:val="en-US"/>
        </w:rPr>
      </w:pPr>
    </w:p>
    <w:p w14:paraId="06F40A0C" w14:textId="3918F94A" w:rsidR="00C26523" w:rsidRDefault="00C26523">
      <w:pPr>
        <w:rPr>
          <w:rFonts w:eastAsiaTheme="majorEastAsia" w:cstheme="majorBidi"/>
          <w:b/>
          <w:bCs/>
          <w:color w:val="000000" w:themeColor="text1"/>
          <w:lang w:val="en-US"/>
        </w:rPr>
      </w:pPr>
      <w:r>
        <w:rPr>
          <w:lang w:val="en-US"/>
        </w:rPr>
        <w:br w:type="page"/>
      </w:r>
    </w:p>
    <w:p w14:paraId="44FBEA2A" w14:textId="45ECA158" w:rsidR="00742906" w:rsidRPr="00C26523" w:rsidRDefault="005302F9" w:rsidP="00C26523">
      <w:pPr>
        <w:pStyle w:val="Heading3"/>
        <w:rPr>
          <w:lang w:val="en-US"/>
        </w:rPr>
      </w:pPr>
      <w:r>
        <w:rPr>
          <w:rFonts w:cstheme="minorHAnsi"/>
          <w:noProof/>
          <w:lang w:val="en-GB" w:eastAsia="en-GB"/>
        </w:rPr>
        <w:lastRenderedPageBreak/>
        <mc:AlternateContent>
          <mc:Choice Requires="wps">
            <w:drawing>
              <wp:anchor distT="0" distB="0" distL="114300" distR="114300" simplePos="0" relativeHeight="251658251" behindDoc="1" locked="0" layoutInCell="1" allowOverlap="1" wp14:anchorId="657D5119" wp14:editId="6995F748">
                <wp:simplePos x="0" y="0"/>
                <wp:positionH relativeFrom="column">
                  <wp:posOffset>446405</wp:posOffset>
                </wp:positionH>
                <wp:positionV relativeFrom="page">
                  <wp:posOffset>4003675</wp:posOffset>
                </wp:positionV>
                <wp:extent cx="4820400" cy="345600"/>
                <wp:effectExtent l="0" t="0" r="0" b="10160"/>
                <wp:wrapNone/>
                <wp:docPr id="23" name="Text Box 23"/>
                <wp:cNvGraphicFramePr/>
                <a:graphic xmlns:a="http://schemas.openxmlformats.org/drawingml/2006/main">
                  <a:graphicData uri="http://schemas.microsoft.com/office/word/2010/wordprocessingShape">
                    <wps:wsp>
                      <wps:cNvSpPr txBox="1"/>
                      <wps:spPr>
                        <a:xfrm>
                          <a:off x="0" y="0"/>
                          <a:ext cx="4820400" cy="34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C806C5" w14:textId="5A62DDCC" w:rsidR="009E312C" w:rsidRPr="005302F9" w:rsidRDefault="009E312C" w:rsidP="005302F9">
                            <w:pPr>
                              <w:rPr>
                                <w:sz w:val="19"/>
                                <w:szCs w:val="19"/>
                                <w:lang w:val="en-AU"/>
                              </w:rPr>
                            </w:pPr>
                            <w:r w:rsidRPr="005302F9">
                              <w:rPr>
                                <w:sz w:val="19"/>
                                <w:szCs w:val="19"/>
                                <w:lang w:val="en-AU"/>
                              </w:rPr>
                              <w:t>Source:</w:t>
                            </w:r>
                            <w:r>
                              <w:rPr>
                                <w:sz w:val="19"/>
                                <w:szCs w:val="19"/>
                                <w:lang w:val="en-AU"/>
                              </w:rPr>
                              <w:t xml:space="preserve"> ICIS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5119" id="Text Box 23" o:spid="_x0000_s1034" type="#_x0000_t202" style="position:absolute;margin-left:35.15pt;margin-top:315.25pt;width:379.55pt;height:27.2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" filled="f" stroked="f">
                <v:textbox>
                  <w:txbxContent>
                    <w:p w14:paraId="39C806C5" w14:textId="5A62DDCC" w:rsidR="009E312C" w:rsidRPr="005302F9" w:rsidRDefault="009E312C" w:rsidP="005302F9">
                      <w:pPr>
                        <w:rPr>
                          <w:sz w:val="19"/>
                          <w:szCs w:val="19"/>
                          <w:lang w:val="en-AU"/>
                        </w:rPr>
                      </w:pPr>
                      <w:r w:rsidRPr="005302F9">
                        <w:rPr>
                          <w:sz w:val="19"/>
                          <w:szCs w:val="19"/>
                          <w:lang w:val="en-AU"/>
                        </w:rPr>
                        <w:t>Source:</w:t>
                      </w:r>
                      <w:r>
                        <w:rPr>
                          <w:sz w:val="19"/>
                          <w:szCs w:val="19"/>
                          <w:lang w:val="en-AU"/>
                        </w:rPr>
                        <w:t xml:space="preserve"> ICIS Energy</w:t>
                      </w:r>
                    </w:p>
                  </w:txbxContent>
                </v:textbox>
                <w10:wrap anchory="page"/>
              </v:shape>
            </w:pict>
          </mc:Fallback>
        </mc:AlternateContent>
      </w:r>
      <w:r w:rsidRPr="00F259E4">
        <w:rPr>
          <w:rFonts w:cstheme="minorHAnsi"/>
          <w:noProof/>
          <w:lang w:val="en-GB" w:eastAsia="en-GB"/>
        </w:rPr>
        <w:drawing>
          <wp:anchor distT="71755" distB="180340" distL="114300" distR="114300" simplePos="0" relativeHeight="251658247" behindDoc="0" locked="0" layoutInCell="1" allowOverlap="1" wp14:anchorId="27D5035A" wp14:editId="37C395A8">
            <wp:simplePos x="0" y="0"/>
            <wp:positionH relativeFrom="column">
              <wp:posOffset>-50800</wp:posOffset>
            </wp:positionH>
            <wp:positionV relativeFrom="paragraph">
              <wp:posOffset>355600</wp:posOffset>
            </wp:positionV>
            <wp:extent cx="5590540" cy="2781300"/>
            <wp:effectExtent l="0" t="0" r="0" b="1270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5990" b="5047"/>
                    <a:stretch/>
                  </pic:blipFill>
                  <pic:spPr bwMode="auto">
                    <a:xfrm>
                      <a:off x="0" y="0"/>
                      <a:ext cx="559054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022">
        <w:rPr>
          <w:lang w:val="en-US"/>
        </w:rPr>
        <w:t>Figure 13 – Bid-offer spreads</w:t>
      </w:r>
      <w:r w:rsidR="00143153">
        <w:rPr>
          <w:lang w:val="en-US"/>
        </w:rPr>
        <w:t xml:space="preserve"> in Britain</w:t>
      </w:r>
    </w:p>
    <w:p w14:paraId="393C6298" w14:textId="77777777" w:rsidR="005302F9" w:rsidRDefault="005302F9" w:rsidP="008A3DA9">
      <w:pPr>
        <w:spacing w:after="60"/>
        <w:rPr>
          <w:rFonts w:cstheme="minorHAnsi"/>
          <w:lang w:val="en-US"/>
        </w:rPr>
      </w:pPr>
    </w:p>
    <w:p w14:paraId="0F53388F" w14:textId="48C6934E" w:rsidR="00742906" w:rsidRPr="00F259E4" w:rsidRDefault="00742906" w:rsidP="008A3DA9">
      <w:pPr>
        <w:spacing w:after="60"/>
        <w:rPr>
          <w:rFonts w:cstheme="minorHAnsi"/>
          <w:lang w:val="en-US"/>
        </w:rPr>
      </w:pPr>
      <w:r w:rsidRPr="00F259E4">
        <w:rPr>
          <w:rFonts w:cstheme="minorHAnsi"/>
          <w:lang w:val="en-US"/>
        </w:rPr>
        <w:t>Ofgem comment on the data:</w:t>
      </w:r>
    </w:p>
    <w:p w14:paraId="06AD7DA0" w14:textId="77777777" w:rsidR="00742906" w:rsidRPr="00F259E4" w:rsidRDefault="00742906" w:rsidP="00742906">
      <w:pPr>
        <w:ind w:left="284"/>
        <w:rPr>
          <w:rFonts w:cstheme="minorHAnsi"/>
          <w:i/>
          <w:lang w:val="en-US"/>
        </w:rPr>
      </w:pPr>
      <w:r w:rsidRPr="00F259E4">
        <w:rPr>
          <w:rFonts w:cstheme="minorHAnsi"/>
          <w:i/>
        </w:rPr>
        <w:t>“Spreads have stayed largely stable over the last year, reflecting the mandated spreads under Secure and Promote. These maintained spreads are positive in that the market can have confidence that prices reflect the underlying demand and supply conditions.”</w:t>
      </w:r>
    </w:p>
    <w:p w14:paraId="48B91507" w14:textId="3036D138" w:rsidR="00742906" w:rsidRPr="00F259E4" w:rsidRDefault="00742906" w:rsidP="00273087">
      <w:pPr>
        <w:pStyle w:val="ListParagraph"/>
        <w:numPr>
          <w:ilvl w:val="0"/>
          <w:numId w:val="47"/>
        </w:numPr>
        <w:ind w:left="714" w:hanging="357"/>
        <w:contextualSpacing w:val="0"/>
        <w:rPr>
          <w:rFonts w:cstheme="minorHAnsi"/>
          <w:lang w:val="en-US"/>
        </w:rPr>
      </w:pPr>
      <w:r w:rsidRPr="00F259E4">
        <w:rPr>
          <w:rFonts w:cstheme="minorHAnsi"/>
          <w:lang w:val="en-US"/>
        </w:rPr>
        <w:t xml:space="preserve">Comparing the two charts above it is apparent that – even leaving aside the spike in winter 2017 – New Zealand’s bid-offer spreads are far higher (by a factor of around 10) than spreads in the </w:t>
      </w:r>
      <w:r w:rsidR="00535A86">
        <w:rPr>
          <w:rFonts w:cstheme="minorHAnsi"/>
          <w:lang w:val="en-US"/>
        </w:rPr>
        <w:t>British</w:t>
      </w:r>
      <w:r w:rsidRPr="00F259E4">
        <w:rPr>
          <w:rFonts w:cstheme="minorHAnsi"/>
          <w:lang w:val="en-US"/>
        </w:rPr>
        <w:t xml:space="preserve"> market. While this in part reflects the introduction of compulsory market-making obligations in </w:t>
      </w:r>
      <w:r w:rsidR="0073302C">
        <w:rPr>
          <w:rFonts w:cstheme="minorHAnsi"/>
          <w:lang w:val="en-US"/>
        </w:rPr>
        <w:t>Britain</w:t>
      </w:r>
      <w:r w:rsidRPr="00F259E4">
        <w:rPr>
          <w:rFonts w:cstheme="minorHAnsi"/>
          <w:lang w:val="en-US"/>
        </w:rPr>
        <w:t xml:space="preserve"> (with regulated bid-offer spreads), even prior to this, spreads were significantly narrower in the market. Again, this suggests problems with the liquidity and performance of the </w:t>
      </w:r>
      <w:r w:rsidR="00352451">
        <w:rPr>
          <w:rFonts w:cstheme="minorHAnsi"/>
          <w:lang w:val="en-US"/>
        </w:rPr>
        <w:t>New Zealand</w:t>
      </w:r>
      <w:r w:rsidRPr="00F259E4">
        <w:rPr>
          <w:rFonts w:cstheme="minorHAnsi"/>
          <w:lang w:val="en-US"/>
        </w:rPr>
        <w:t xml:space="preserve"> contract market.</w:t>
      </w:r>
    </w:p>
    <w:p w14:paraId="7F688654" w14:textId="7BF9995C" w:rsidR="00742906" w:rsidRPr="00F259E4" w:rsidRDefault="00742906" w:rsidP="00273087">
      <w:pPr>
        <w:pStyle w:val="ListParagraph"/>
        <w:numPr>
          <w:ilvl w:val="0"/>
          <w:numId w:val="47"/>
        </w:numPr>
        <w:ind w:left="714" w:hanging="357"/>
        <w:contextualSpacing w:val="0"/>
        <w:rPr>
          <w:rFonts w:cstheme="minorHAnsi"/>
          <w:lang w:val="en-US"/>
        </w:rPr>
      </w:pPr>
      <w:r w:rsidRPr="00F259E4">
        <w:rPr>
          <w:rFonts w:cstheme="minorHAnsi"/>
          <w:lang w:val="en-US"/>
        </w:rPr>
        <w:t xml:space="preserve">Further, the volume of contracts traded on the ASX market (liquidity) has plateaued or declined in recent times. ENA notes the </w:t>
      </w:r>
      <w:r w:rsidR="00352451">
        <w:rPr>
          <w:rFonts w:cstheme="minorHAnsi"/>
          <w:lang w:val="en-US"/>
        </w:rPr>
        <w:t>Panel’s issues paper</w:t>
      </w:r>
      <w:r w:rsidRPr="00F259E4">
        <w:rPr>
          <w:rStyle w:val="FootnoteReference"/>
          <w:rFonts w:cstheme="minorHAnsi"/>
          <w:lang w:val="en-US"/>
        </w:rPr>
        <w:footnoteReference w:id="40"/>
      </w:r>
      <w:r w:rsidRPr="00F259E4">
        <w:rPr>
          <w:rFonts w:cstheme="minorHAnsi"/>
          <w:lang w:val="en-US"/>
        </w:rPr>
        <w:t xml:space="preserve"> conclusion that “</w:t>
      </w:r>
      <w:r w:rsidRPr="00F259E4">
        <w:rPr>
          <w:rFonts w:cstheme="minorHAnsi"/>
          <w:i/>
          <w:lang w:val="en-US"/>
        </w:rPr>
        <w:t>some aspects of the contract market’s performance have faltered recently</w:t>
      </w:r>
      <w:r w:rsidRPr="00F259E4">
        <w:rPr>
          <w:rFonts w:cstheme="minorHAnsi"/>
          <w:lang w:val="en-US"/>
        </w:rPr>
        <w:t>”.</w:t>
      </w:r>
    </w:p>
    <w:p w14:paraId="67F64E15" w14:textId="77777777" w:rsidR="00742906" w:rsidRPr="00F259E4" w:rsidRDefault="00742906" w:rsidP="00273087">
      <w:pPr>
        <w:pStyle w:val="ListParagraph"/>
        <w:numPr>
          <w:ilvl w:val="0"/>
          <w:numId w:val="47"/>
        </w:numPr>
        <w:ind w:left="714" w:hanging="357"/>
        <w:contextualSpacing w:val="0"/>
        <w:rPr>
          <w:rFonts w:cstheme="minorHAnsi"/>
          <w:lang w:val="en-US"/>
        </w:rPr>
      </w:pPr>
      <w:r w:rsidRPr="00F259E4">
        <w:rPr>
          <w:rFonts w:cstheme="minorHAnsi"/>
          <w:lang w:val="en-US"/>
        </w:rPr>
        <w:t>According to one retailer, the issue is that “the hedge market pricing appears to be too high relative to retail pricing. Retail pricing should be higher than wholesale because there is more volume uncertainty (risk) and more credit risk”.</w:t>
      </w:r>
    </w:p>
    <w:p w14:paraId="6F1E6859" w14:textId="77777777" w:rsidR="00742906" w:rsidRPr="00F259E4" w:rsidRDefault="00742906" w:rsidP="00273087">
      <w:pPr>
        <w:pStyle w:val="ListParagraph"/>
        <w:numPr>
          <w:ilvl w:val="0"/>
          <w:numId w:val="47"/>
        </w:numPr>
        <w:rPr>
          <w:rFonts w:cstheme="minorHAnsi"/>
          <w:lang w:val="en-US"/>
        </w:rPr>
      </w:pPr>
      <w:r w:rsidRPr="00F259E4">
        <w:rPr>
          <w:rFonts w:cstheme="minorHAnsi"/>
          <w:lang w:val="en-US"/>
        </w:rPr>
        <w:t>A letter from The Alliance of Independent Retailers to the Electricity Authority (May 2017)</w:t>
      </w:r>
      <w:r w:rsidRPr="00F259E4">
        <w:rPr>
          <w:rStyle w:val="FootnoteReference"/>
          <w:rFonts w:cstheme="minorHAnsi"/>
          <w:lang w:val="en-US"/>
        </w:rPr>
        <w:footnoteReference w:id="41"/>
      </w:r>
      <w:r w:rsidRPr="00F259E4">
        <w:rPr>
          <w:rFonts w:cstheme="minorHAnsi"/>
          <w:lang w:val="en-US"/>
        </w:rPr>
        <w:t xml:space="preserve"> focused on the differential between ‘Fixed Price Variable Volume’ (FPVV) retail contracts and the ASX futures ‘Fixed Price Fixed Volume’ (FPFV) contract. There are numerous reasons why </w:t>
      </w:r>
      <w:r w:rsidRPr="00F259E4">
        <w:rPr>
          <w:rFonts w:cstheme="minorHAnsi"/>
          <w:lang w:val="en-US"/>
        </w:rPr>
        <w:lastRenderedPageBreak/>
        <w:t xml:space="preserve">the price in a FPVV contract should be priced at a margin above a FPFV ASX contract, namely: </w:t>
      </w:r>
    </w:p>
    <w:p w14:paraId="7C960DAC" w14:textId="77777777" w:rsidR="00742906" w:rsidRPr="00F259E4" w:rsidRDefault="00742906" w:rsidP="00742906">
      <w:pPr>
        <w:jc w:val="center"/>
        <w:rPr>
          <w:rFonts w:cstheme="minorHAnsi"/>
        </w:rPr>
      </w:pPr>
      <w:r w:rsidRPr="00F259E4">
        <w:rPr>
          <w:rFonts w:cstheme="minorHAnsi"/>
          <w:noProof/>
          <w:lang w:val="en-GB" w:eastAsia="en-GB"/>
        </w:rPr>
        <w:drawing>
          <wp:inline distT="0" distB="0" distL="0" distR="0" wp14:anchorId="757FA595" wp14:editId="55BFB682">
            <wp:extent cx="5018408" cy="5038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8408" cy="5038725"/>
                    </a:xfrm>
                    <a:prstGeom prst="rect">
                      <a:avLst/>
                    </a:prstGeom>
                  </pic:spPr>
                </pic:pic>
              </a:graphicData>
            </a:graphic>
          </wp:inline>
        </w:drawing>
      </w:r>
    </w:p>
    <w:p w14:paraId="23977CB1" w14:textId="3590F636" w:rsidR="00742906" w:rsidRPr="00F259E4" w:rsidRDefault="00742906" w:rsidP="00273087">
      <w:pPr>
        <w:pStyle w:val="ListParagraph"/>
        <w:numPr>
          <w:ilvl w:val="0"/>
          <w:numId w:val="48"/>
        </w:numPr>
        <w:ind w:left="851" w:hanging="425"/>
        <w:contextualSpacing w:val="0"/>
        <w:rPr>
          <w:rFonts w:cstheme="minorHAnsi"/>
        </w:rPr>
      </w:pPr>
      <w:r w:rsidRPr="00F259E4">
        <w:rPr>
          <w:rFonts w:cstheme="minorHAnsi"/>
        </w:rPr>
        <w:t>The Electricity Authority reviewed</w:t>
      </w:r>
      <w:r w:rsidRPr="00F259E4">
        <w:rPr>
          <w:rStyle w:val="FootnoteReference"/>
          <w:rFonts w:cstheme="minorHAnsi"/>
        </w:rPr>
        <w:footnoteReference w:id="42"/>
      </w:r>
      <w:r w:rsidRPr="00F259E4">
        <w:rPr>
          <w:rFonts w:cstheme="minorHAnsi"/>
        </w:rPr>
        <w:t xml:space="preserve"> 1,850 FPVV contracts covering January 2013 to December 2019 in comparison to the ASX settlement price for base-load quarterly contracts at the time the contract was quoted to the customer. This investigation revealed that 12% of these FPVV contracts were priced </w:t>
      </w:r>
      <w:r w:rsidR="00D546A9" w:rsidRPr="00D546A9">
        <w:rPr>
          <w:rFonts w:cstheme="minorHAnsi"/>
          <w:i/>
        </w:rPr>
        <w:t>below</w:t>
      </w:r>
      <w:r w:rsidR="00D546A9" w:rsidRPr="00F259E4">
        <w:rPr>
          <w:rFonts w:cstheme="minorHAnsi"/>
        </w:rPr>
        <w:t xml:space="preserve"> </w:t>
      </w:r>
      <w:r w:rsidRPr="00F259E4">
        <w:rPr>
          <w:rFonts w:cstheme="minorHAnsi"/>
        </w:rPr>
        <w:t>ASX prices. That is, the six large vertically integrated gentailers were offering commercial and industrial consumers a price below the price paid by a non-vertically integrated retailer to buy this electricity for on-sale.</w:t>
      </w:r>
    </w:p>
    <w:p w14:paraId="059759DC" w14:textId="5A59336D" w:rsidR="00742906" w:rsidRPr="00F259E4" w:rsidRDefault="00742906" w:rsidP="00273087">
      <w:pPr>
        <w:pStyle w:val="ListParagraph"/>
        <w:numPr>
          <w:ilvl w:val="0"/>
          <w:numId w:val="48"/>
        </w:numPr>
        <w:ind w:left="851" w:hanging="425"/>
        <w:rPr>
          <w:rFonts w:cstheme="minorHAnsi"/>
        </w:rPr>
      </w:pPr>
      <w:r w:rsidRPr="00F259E4">
        <w:rPr>
          <w:rFonts w:cstheme="minorHAnsi"/>
        </w:rPr>
        <w:t xml:space="preserve">The Electricity Authority dismissed this outcome as not requiring any further </w:t>
      </w:r>
      <w:r w:rsidR="00990A4F">
        <w:rPr>
          <w:rFonts w:cstheme="minorHAnsi"/>
        </w:rPr>
        <w:t>work</w:t>
      </w:r>
      <w:r w:rsidRPr="00F259E4">
        <w:rPr>
          <w:rFonts w:cstheme="minorHAnsi"/>
        </w:rPr>
        <w:t xml:space="preserve">.  </w:t>
      </w:r>
      <w:r w:rsidR="00990A4F">
        <w:rPr>
          <w:rFonts w:cstheme="minorHAnsi"/>
        </w:rPr>
        <w:t xml:space="preserve">As </w:t>
      </w:r>
      <w:r w:rsidR="00C60BFB">
        <w:rPr>
          <w:rFonts w:cstheme="minorHAnsi"/>
        </w:rPr>
        <w:t>such</w:t>
      </w:r>
      <w:r w:rsidR="00990A4F">
        <w:rPr>
          <w:rFonts w:cstheme="minorHAnsi"/>
        </w:rPr>
        <w:t>, there</w:t>
      </w:r>
      <w:r w:rsidRPr="00F259E4">
        <w:rPr>
          <w:rFonts w:cstheme="minorHAnsi"/>
        </w:rPr>
        <w:t xml:space="preserve"> was no analysis of whether this undercutting was by </w:t>
      </w:r>
      <w:r w:rsidR="00D2379D" w:rsidRPr="00F259E4">
        <w:rPr>
          <w:rFonts w:cstheme="minorHAnsi"/>
        </w:rPr>
        <w:t xml:space="preserve">one </w:t>
      </w:r>
      <w:r w:rsidRPr="00F259E4">
        <w:rPr>
          <w:rFonts w:cstheme="minorHAnsi"/>
        </w:rPr>
        <w:t>only or a number of retailers</w:t>
      </w:r>
      <w:r w:rsidR="00D2379D">
        <w:rPr>
          <w:rFonts w:cstheme="minorHAnsi"/>
        </w:rPr>
        <w:t>,</w:t>
      </w:r>
      <w:r w:rsidRPr="00F259E4">
        <w:rPr>
          <w:rFonts w:cstheme="minorHAnsi"/>
        </w:rPr>
        <w:t xml:space="preserve"> or if it was a recent development (given the contract dates covered six years). </w:t>
      </w:r>
    </w:p>
    <w:p w14:paraId="4C4E1BD1" w14:textId="788074DC" w:rsidR="00742906" w:rsidRPr="00F259E4" w:rsidRDefault="00742906" w:rsidP="00EB33BE">
      <w:pPr>
        <w:rPr>
          <w:rFonts w:cstheme="minorHAnsi"/>
        </w:rPr>
      </w:pPr>
      <w:r w:rsidRPr="00F259E4">
        <w:rPr>
          <w:rFonts w:cstheme="minorHAnsi"/>
        </w:rPr>
        <w:lastRenderedPageBreak/>
        <w:t>MBIE should use the information collected by the Authority to investigate the FPVV contracts priced at or below ASX. As discussed above FPVV contracts should be priced at a margin above ASX contracts.</w:t>
      </w:r>
    </w:p>
    <w:p w14:paraId="6B8E06D3" w14:textId="54DD334E" w:rsidR="00742906" w:rsidRPr="00F259E4" w:rsidRDefault="00742906" w:rsidP="00273087">
      <w:pPr>
        <w:pStyle w:val="ListParagraph"/>
        <w:numPr>
          <w:ilvl w:val="0"/>
          <w:numId w:val="49"/>
        </w:numPr>
        <w:ind w:left="850" w:hanging="424"/>
        <w:contextualSpacing w:val="0"/>
        <w:rPr>
          <w:rFonts w:cstheme="minorHAnsi"/>
          <w:lang w:val="en-US"/>
        </w:rPr>
      </w:pPr>
      <w:r w:rsidRPr="00F259E4">
        <w:rPr>
          <w:rFonts w:cstheme="minorHAnsi"/>
          <w:lang w:val="en-US"/>
        </w:rPr>
        <w:t>According to one retailer, the key issue in the wholesale market is the lack of an incentive for retailers to provide futures contracts and therefore liquidity. “</w:t>
      </w:r>
      <w:r w:rsidRPr="00F259E4">
        <w:rPr>
          <w:rFonts w:cstheme="minorHAnsi"/>
          <w:i/>
          <w:lang w:val="en-US"/>
        </w:rPr>
        <w:t>Gentailers are not excited about being forced to bid into the futures market. If you want competition, the market needs good regulation”</w:t>
      </w:r>
      <w:r w:rsidR="00646BA0">
        <w:rPr>
          <w:rFonts w:cstheme="minorHAnsi"/>
          <w:i/>
          <w:lang w:val="en-US"/>
        </w:rPr>
        <w:t>.</w:t>
      </w:r>
    </w:p>
    <w:p w14:paraId="42A8CE0E" w14:textId="77777777" w:rsidR="00742906" w:rsidRPr="00F259E4" w:rsidRDefault="00742906" w:rsidP="00273087">
      <w:pPr>
        <w:pStyle w:val="ListParagraph"/>
        <w:numPr>
          <w:ilvl w:val="0"/>
          <w:numId w:val="49"/>
        </w:numPr>
        <w:ind w:left="850" w:hanging="424"/>
        <w:contextualSpacing w:val="0"/>
        <w:rPr>
          <w:rFonts w:cstheme="minorHAnsi"/>
        </w:rPr>
      </w:pPr>
      <w:r w:rsidRPr="00F259E4">
        <w:rPr>
          <w:rFonts w:cstheme="minorHAnsi"/>
        </w:rPr>
        <w:t>Fundamentally, the issue here is that having a liquid hedge market allows competition in parts of the value chain (either generation or retailing) that competes with the gentailer’s vertically integrated model. The less hedge market liquidity exists, the less competition they face. So gentailers are incentivised to do the minimum amount that fends off any regulatory action to provide liquidity.</w:t>
      </w:r>
    </w:p>
    <w:p w14:paraId="60F5BD3C" w14:textId="036D725D" w:rsidR="00742906" w:rsidRPr="00F259E4" w:rsidRDefault="00742906" w:rsidP="00273087">
      <w:pPr>
        <w:pStyle w:val="ListParagraph"/>
        <w:numPr>
          <w:ilvl w:val="0"/>
          <w:numId w:val="49"/>
        </w:numPr>
        <w:ind w:left="850" w:hanging="424"/>
        <w:contextualSpacing w:val="0"/>
        <w:rPr>
          <w:rFonts w:cstheme="minorHAnsi"/>
        </w:rPr>
      </w:pPr>
      <w:r w:rsidRPr="00F259E4">
        <w:rPr>
          <w:rFonts w:cstheme="minorHAnsi"/>
        </w:rPr>
        <w:t>It is worth noting that the current market-making obligations are voluntary. Contact, Genesis, Mercury and Meridian reluctantly agreed to perform the market</w:t>
      </w:r>
      <w:r w:rsidR="00A33514">
        <w:rPr>
          <w:rFonts w:cstheme="minorHAnsi"/>
        </w:rPr>
        <w:t>-</w:t>
      </w:r>
      <w:r w:rsidRPr="00F259E4">
        <w:rPr>
          <w:rFonts w:cstheme="minorHAnsi"/>
        </w:rPr>
        <w:t xml:space="preserve">making service when the Electricity Authority threatened to make a Code amendment requiring them to do so. Over recent years they have increasing stopped market-making whenever the market becomes tight. This has led to ASX liquidity and trading stagnating over the last two years, and even starting to decline. </w:t>
      </w:r>
    </w:p>
    <w:p w14:paraId="4E6991F2" w14:textId="18C91176" w:rsidR="00742906" w:rsidRPr="00F259E4" w:rsidRDefault="00742906" w:rsidP="00273087">
      <w:pPr>
        <w:pStyle w:val="ListParagraph"/>
        <w:numPr>
          <w:ilvl w:val="0"/>
          <w:numId w:val="49"/>
        </w:numPr>
        <w:spacing w:after="360"/>
        <w:ind w:left="850" w:hanging="425"/>
        <w:contextualSpacing w:val="0"/>
        <w:rPr>
          <w:rFonts w:cstheme="minorHAnsi"/>
        </w:rPr>
      </w:pPr>
      <w:r w:rsidRPr="00F259E4">
        <w:rPr>
          <w:rFonts w:cstheme="minorHAnsi"/>
        </w:rPr>
        <w:t>If no action is taken, it’s likely that hedge market liquidity, and the retail competition that depend</w:t>
      </w:r>
      <w:r w:rsidR="00A33514">
        <w:rPr>
          <w:rFonts w:cstheme="minorHAnsi"/>
        </w:rPr>
        <w:t>s</w:t>
      </w:r>
      <w:r w:rsidRPr="00F259E4">
        <w:rPr>
          <w:rFonts w:cstheme="minorHAnsi"/>
        </w:rPr>
        <w:t xml:space="preserve"> on it, will decline in coming years.</w:t>
      </w:r>
    </w:p>
    <w:p w14:paraId="4707B9A1" w14:textId="0558D36F" w:rsidR="00911119" w:rsidRPr="00293B6B" w:rsidRDefault="00742906" w:rsidP="00293B6B">
      <w:pPr>
        <w:pStyle w:val="Heading2"/>
        <w:spacing w:after="120"/>
        <w:rPr>
          <w:rStyle w:val="normaltextrun1"/>
        </w:rPr>
      </w:pPr>
      <w:r w:rsidRPr="00293B6B">
        <w:t>Recommendation</w:t>
      </w:r>
      <w:r w:rsidR="00FA319E" w:rsidRPr="00293B6B">
        <w:t xml:space="preserve"> 4.3</w:t>
      </w:r>
      <w:r w:rsidR="008600BE" w:rsidRPr="00293B6B">
        <w:t>:</w:t>
      </w:r>
      <w:r w:rsidR="00293B6B" w:rsidRPr="00293B6B">
        <w:t xml:space="preserve"> </w:t>
      </w:r>
      <w:r w:rsidR="00911119" w:rsidRPr="00293B6B">
        <w:rPr>
          <w:rStyle w:val="normaltextrun1"/>
          <w:rFonts w:eastAsiaTheme="minorEastAsia" w:cstheme="minorHAnsi"/>
          <w:lang w:eastAsia="en-NZ"/>
        </w:rPr>
        <w:t xml:space="preserve">That the </w:t>
      </w:r>
      <w:r w:rsidR="00F66A2B">
        <w:rPr>
          <w:rStyle w:val="normaltextrun1"/>
          <w:rFonts w:eastAsiaTheme="minorEastAsia" w:cstheme="minorHAnsi"/>
          <w:lang w:eastAsia="en-NZ"/>
        </w:rPr>
        <w:t>Panel</w:t>
      </w:r>
      <w:r w:rsidR="00911119" w:rsidRPr="00293B6B">
        <w:rPr>
          <w:rStyle w:val="normaltextrun1"/>
          <w:rFonts w:eastAsiaTheme="minorEastAsia" w:cstheme="minorHAnsi"/>
          <w:lang w:eastAsia="en-NZ"/>
        </w:rPr>
        <w:t xml:space="preserve"> recommends resolving long-running concerns about liquidity in the wholesale electricity market and that improving the depth and resilience of the contract market should be given higher priority.</w:t>
      </w:r>
    </w:p>
    <w:p w14:paraId="11F07DC6" w14:textId="77777777" w:rsidR="00911119" w:rsidRPr="00283BF8" w:rsidRDefault="00911119" w:rsidP="00911119">
      <w:pPr>
        <w:spacing w:after="0"/>
        <w:ind w:left="720" w:hanging="720"/>
        <w:rPr>
          <w:rFonts w:cstheme="minorHAnsi"/>
        </w:rPr>
      </w:pPr>
    </w:p>
    <w:p w14:paraId="1592FF3E" w14:textId="6DD9A05D" w:rsidR="00742906" w:rsidRPr="008600BE" w:rsidRDefault="00742906" w:rsidP="00273087">
      <w:pPr>
        <w:pStyle w:val="ListParagraph"/>
        <w:numPr>
          <w:ilvl w:val="0"/>
          <w:numId w:val="53"/>
        </w:numPr>
        <w:ind w:left="426" w:hanging="426"/>
        <w:contextualSpacing w:val="0"/>
        <w:rPr>
          <w:rFonts w:cstheme="minorHAnsi"/>
          <w:b/>
          <w:i/>
          <w:sz w:val="24"/>
        </w:rPr>
      </w:pPr>
      <w:r w:rsidRPr="008600BE">
        <w:rPr>
          <w:rStyle w:val="Strong"/>
          <w:rFonts w:cstheme="minorHAnsi"/>
          <w:i w:val="0"/>
          <w:color w:val="000000" w:themeColor="text1"/>
          <w:sz w:val="22"/>
          <w:szCs w:val="22"/>
        </w:rPr>
        <w:t>What are your views on the assessment of generators’ and retailers’ profits?</w:t>
      </w:r>
    </w:p>
    <w:p w14:paraId="4356B59B" w14:textId="77777777" w:rsidR="00742906" w:rsidRPr="00F259E4" w:rsidRDefault="00742906" w:rsidP="00273087">
      <w:pPr>
        <w:pStyle w:val="ListParagraph"/>
        <w:numPr>
          <w:ilvl w:val="0"/>
          <w:numId w:val="50"/>
        </w:numPr>
        <w:ind w:left="850" w:hanging="425"/>
        <w:contextualSpacing w:val="0"/>
        <w:rPr>
          <w:rFonts w:cstheme="minorHAnsi"/>
        </w:rPr>
      </w:pPr>
      <w:r w:rsidRPr="00F259E4">
        <w:rPr>
          <w:rFonts w:cstheme="minorHAnsi"/>
        </w:rPr>
        <w:t>It is difficult to assess generator and retail profitability given the current transparency and disclosure by vertically integrated incumbents.</w:t>
      </w:r>
    </w:p>
    <w:p w14:paraId="7081CB1B" w14:textId="57E680B0" w:rsidR="00742906" w:rsidRPr="00F259E4" w:rsidRDefault="00742906" w:rsidP="00273087">
      <w:pPr>
        <w:pStyle w:val="ListParagraph"/>
        <w:numPr>
          <w:ilvl w:val="0"/>
          <w:numId w:val="50"/>
        </w:numPr>
        <w:ind w:left="850" w:hanging="425"/>
        <w:contextualSpacing w:val="0"/>
        <w:rPr>
          <w:rFonts w:cstheme="minorHAnsi"/>
          <w:lang w:val="en-US"/>
        </w:rPr>
      </w:pPr>
      <w:r w:rsidRPr="00F259E4">
        <w:rPr>
          <w:rFonts w:cstheme="minorHAnsi"/>
          <w:lang w:val="en-US"/>
        </w:rPr>
        <w:t xml:space="preserve">All electricity distribution companies adhere to a comprehensive information disclosure regime. However, information disclosed by the competitive sector is less transparent or uniform. </w:t>
      </w:r>
    </w:p>
    <w:p w14:paraId="3E59B5CE" w14:textId="0DDE975C" w:rsidR="00742906" w:rsidRPr="00F259E4" w:rsidRDefault="00742906" w:rsidP="00273087">
      <w:pPr>
        <w:pStyle w:val="ListParagraph"/>
        <w:numPr>
          <w:ilvl w:val="0"/>
          <w:numId w:val="50"/>
        </w:numPr>
        <w:ind w:left="850" w:hanging="425"/>
        <w:contextualSpacing w:val="0"/>
        <w:rPr>
          <w:rFonts w:cstheme="minorHAnsi"/>
          <w:lang w:val="en-US"/>
        </w:rPr>
      </w:pPr>
      <w:r w:rsidRPr="00F259E4">
        <w:rPr>
          <w:rFonts w:cstheme="minorHAnsi"/>
          <w:lang w:val="en-US"/>
        </w:rPr>
        <w:t>The listed gentailers are subject to accounting standards that require ‘segment reporting’. However, each company treats this obligation differently</w:t>
      </w:r>
      <w:r w:rsidR="00A33514">
        <w:rPr>
          <w:rFonts w:cstheme="minorHAnsi"/>
          <w:lang w:val="en-US"/>
        </w:rPr>
        <w:t>.</w:t>
      </w:r>
    </w:p>
    <w:p w14:paraId="12A0885D" w14:textId="669004E5" w:rsidR="00742906" w:rsidRPr="00F259E4" w:rsidRDefault="001373A1" w:rsidP="00273087">
      <w:pPr>
        <w:pStyle w:val="ListParagraph"/>
        <w:numPr>
          <w:ilvl w:val="0"/>
          <w:numId w:val="35"/>
        </w:numPr>
        <w:spacing w:after="160" w:line="259" w:lineRule="auto"/>
        <w:ind w:left="851" w:hanging="425"/>
        <w:rPr>
          <w:rFonts w:cstheme="minorHAnsi"/>
          <w:lang w:val="en-US"/>
        </w:rPr>
      </w:pPr>
      <w:r>
        <w:rPr>
          <w:rFonts w:cstheme="minorHAnsi"/>
          <w:lang w:val="en-US"/>
        </w:rPr>
        <w:t xml:space="preserve">For example, </w:t>
      </w:r>
      <w:r w:rsidR="00742906" w:rsidRPr="00F259E4">
        <w:rPr>
          <w:rFonts w:cstheme="minorHAnsi"/>
          <w:lang w:val="en-US"/>
        </w:rPr>
        <w:t>Meridian Energy</w:t>
      </w:r>
      <w:r w:rsidR="00742906" w:rsidRPr="00F259E4">
        <w:rPr>
          <w:rStyle w:val="FootnoteReference"/>
          <w:rFonts w:cstheme="minorHAnsi"/>
          <w:lang w:val="en-US"/>
        </w:rPr>
        <w:footnoteReference w:id="43"/>
      </w:r>
      <w:r w:rsidR="00742906" w:rsidRPr="00F259E4">
        <w:rPr>
          <w:rFonts w:cstheme="minorHAnsi"/>
          <w:lang w:val="en-US"/>
        </w:rPr>
        <w:t xml:space="preserve"> report</w:t>
      </w:r>
      <w:r>
        <w:rPr>
          <w:rFonts w:cstheme="minorHAnsi"/>
          <w:lang w:val="en-US"/>
        </w:rPr>
        <w:t>s</w:t>
      </w:r>
      <w:r w:rsidR="00742906" w:rsidRPr="00F259E4">
        <w:rPr>
          <w:rFonts w:cstheme="minorHAnsi"/>
          <w:lang w:val="en-US"/>
        </w:rPr>
        <w:t xml:space="preserve"> on </w:t>
      </w:r>
      <w:r>
        <w:rPr>
          <w:rFonts w:cstheme="minorHAnsi"/>
          <w:lang w:val="en-US"/>
        </w:rPr>
        <w:t>its</w:t>
      </w:r>
      <w:r w:rsidR="00742906" w:rsidRPr="00F259E4">
        <w:rPr>
          <w:rFonts w:cstheme="minorHAnsi"/>
          <w:lang w:val="en-US"/>
        </w:rPr>
        <w:t xml:space="preserve"> New Zealand electricity generation and electricity retail business to the EBITDAF level</w:t>
      </w:r>
      <w:r w:rsidR="004E3B7D">
        <w:rPr>
          <w:rFonts w:cstheme="minorHAnsi"/>
          <w:lang w:val="en-US"/>
        </w:rPr>
        <w:t>:</w:t>
      </w:r>
    </w:p>
    <w:p w14:paraId="3D912442" w14:textId="5B6EBABF" w:rsidR="00742906" w:rsidRPr="00680BAB" w:rsidRDefault="00742906" w:rsidP="00680BAB">
      <w:pPr>
        <w:pStyle w:val="ListParagraph"/>
        <w:rPr>
          <w:rFonts w:cstheme="minorHAnsi"/>
          <w:lang w:val="en-US"/>
        </w:rPr>
      </w:pPr>
      <w:r w:rsidRPr="00F259E4">
        <w:rPr>
          <w:rFonts w:cstheme="minorHAnsi"/>
          <w:noProof/>
          <w:lang w:val="en-GB" w:eastAsia="en-GB"/>
        </w:rPr>
        <w:lastRenderedPageBreak/>
        <w:drawing>
          <wp:inline distT="0" distB="0" distL="0" distR="0" wp14:anchorId="4F0BD8A4" wp14:editId="0ACE90D8">
            <wp:extent cx="5300277" cy="3774440"/>
            <wp:effectExtent l="0" t="0" r="889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10814" cy="3781944"/>
                    </a:xfrm>
                    <a:prstGeom prst="rect">
                      <a:avLst/>
                    </a:prstGeom>
                  </pic:spPr>
                </pic:pic>
              </a:graphicData>
            </a:graphic>
          </wp:inline>
        </w:drawing>
      </w:r>
    </w:p>
    <w:p w14:paraId="0428DFE8" w14:textId="77777777" w:rsidR="00742906" w:rsidRPr="00F259E4" w:rsidRDefault="00742906" w:rsidP="00742906">
      <w:pPr>
        <w:pStyle w:val="ListParagraph"/>
        <w:rPr>
          <w:rFonts w:cstheme="minorHAnsi"/>
          <w:lang w:val="en-US"/>
        </w:rPr>
      </w:pPr>
    </w:p>
    <w:p w14:paraId="2F227849" w14:textId="77777777" w:rsidR="00742906" w:rsidRPr="00F259E4" w:rsidRDefault="00742906" w:rsidP="00742906">
      <w:pPr>
        <w:pStyle w:val="ListParagraph"/>
        <w:rPr>
          <w:rFonts w:cstheme="minorHAnsi"/>
          <w:lang w:val="en-US"/>
        </w:rPr>
      </w:pPr>
      <w:r w:rsidRPr="00F259E4">
        <w:rPr>
          <w:rFonts w:cstheme="minorHAnsi"/>
          <w:lang w:val="en-US"/>
        </w:rPr>
        <w:br/>
      </w:r>
    </w:p>
    <w:p w14:paraId="586D5A6A" w14:textId="3E18BEE0" w:rsidR="00742906" w:rsidRPr="00F259E4" w:rsidRDefault="00742906" w:rsidP="00273087">
      <w:pPr>
        <w:pStyle w:val="ListParagraph"/>
        <w:numPr>
          <w:ilvl w:val="0"/>
          <w:numId w:val="35"/>
        </w:numPr>
        <w:spacing w:after="160" w:line="259" w:lineRule="auto"/>
        <w:ind w:left="851" w:hanging="425"/>
        <w:rPr>
          <w:rFonts w:cstheme="minorHAnsi"/>
          <w:lang w:val="en-US"/>
        </w:rPr>
      </w:pPr>
      <w:r w:rsidRPr="00F259E4">
        <w:rPr>
          <w:rFonts w:cstheme="minorHAnsi"/>
          <w:lang w:val="en-US"/>
        </w:rPr>
        <w:t>Mercury report</w:t>
      </w:r>
      <w:r w:rsidR="004E3B7D">
        <w:rPr>
          <w:rFonts w:cstheme="minorHAnsi"/>
          <w:lang w:val="en-US"/>
        </w:rPr>
        <w:t>s</w:t>
      </w:r>
      <w:r w:rsidRPr="00F259E4">
        <w:rPr>
          <w:rStyle w:val="FootnoteReference"/>
          <w:rFonts w:cstheme="minorHAnsi"/>
          <w:lang w:val="en-US"/>
        </w:rPr>
        <w:footnoteReference w:id="44"/>
      </w:r>
      <w:r w:rsidRPr="00F259E4">
        <w:rPr>
          <w:rFonts w:cstheme="minorHAnsi"/>
          <w:lang w:val="en-US"/>
        </w:rPr>
        <w:t xml:space="preserve"> on ‘Energy Markets’ and Other – providing no split between electricity generation and retailing profitability</w:t>
      </w:r>
      <w:r w:rsidR="00265109">
        <w:rPr>
          <w:rFonts w:cstheme="minorHAnsi"/>
          <w:lang w:val="en-US"/>
        </w:rPr>
        <w:t>.</w:t>
      </w:r>
    </w:p>
    <w:p w14:paraId="763282CD" w14:textId="77777777" w:rsidR="00742906" w:rsidRPr="00F259E4" w:rsidRDefault="00742906" w:rsidP="00742906">
      <w:pPr>
        <w:ind w:left="630"/>
        <w:rPr>
          <w:rFonts w:cstheme="minorHAnsi"/>
          <w:lang w:val="en-US"/>
        </w:rPr>
      </w:pPr>
      <w:r w:rsidRPr="00F259E4">
        <w:rPr>
          <w:rFonts w:cstheme="minorHAnsi"/>
          <w:noProof/>
          <w:lang w:val="en-GB" w:eastAsia="en-GB"/>
        </w:rPr>
        <w:drawing>
          <wp:inline distT="0" distB="0" distL="0" distR="0" wp14:anchorId="7EC75319" wp14:editId="06AB6F7D">
            <wp:extent cx="5349698" cy="1148055"/>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14336" cy="1161926"/>
                    </a:xfrm>
                    <a:prstGeom prst="rect">
                      <a:avLst/>
                    </a:prstGeom>
                  </pic:spPr>
                </pic:pic>
              </a:graphicData>
            </a:graphic>
          </wp:inline>
        </w:drawing>
      </w:r>
    </w:p>
    <w:p w14:paraId="0AD0DAB4" w14:textId="120C11AD" w:rsidR="00742906" w:rsidRPr="00F259E4" w:rsidRDefault="00742906" w:rsidP="00273087">
      <w:pPr>
        <w:pStyle w:val="ListParagraph"/>
        <w:numPr>
          <w:ilvl w:val="0"/>
          <w:numId w:val="35"/>
        </w:numPr>
        <w:spacing w:after="160" w:line="259" w:lineRule="auto"/>
        <w:ind w:left="851" w:hanging="425"/>
        <w:rPr>
          <w:rFonts w:cstheme="minorHAnsi"/>
          <w:lang w:val="en-US"/>
        </w:rPr>
      </w:pPr>
      <w:r w:rsidRPr="00F259E4">
        <w:rPr>
          <w:rFonts w:cstheme="minorHAnsi"/>
          <w:lang w:val="en-US"/>
        </w:rPr>
        <w:t>Genesis Energy</w:t>
      </w:r>
      <w:r w:rsidRPr="00F259E4">
        <w:rPr>
          <w:rStyle w:val="FootnoteReference"/>
          <w:rFonts w:cstheme="minorHAnsi"/>
          <w:lang w:val="en-US"/>
        </w:rPr>
        <w:footnoteReference w:id="45"/>
      </w:r>
      <w:r w:rsidRPr="00F259E4">
        <w:rPr>
          <w:rFonts w:cstheme="minorHAnsi"/>
          <w:lang w:val="en-US"/>
        </w:rPr>
        <w:t xml:space="preserve"> combines electricity with gas and LPG for </w:t>
      </w:r>
      <w:r w:rsidR="004E3B7D">
        <w:rPr>
          <w:rFonts w:cstheme="minorHAnsi"/>
          <w:lang w:val="en-US"/>
        </w:rPr>
        <w:t>its</w:t>
      </w:r>
      <w:r w:rsidRPr="00F259E4">
        <w:rPr>
          <w:rFonts w:cstheme="minorHAnsi"/>
          <w:lang w:val="en-US"/>
        </w:rPr>
        <w:t xml:space="preserve"> Customer and Wholesale segments</w:t>
      </w:r>
      <w:r w:rsidR="004E3B7D">
        <w:rPr>
          <w:rFonts w:cstheme="minorHAnsi"/>
          <w:lang w:val="en-US"/>
        </w:rPr>
        <w:t>:</w:t>
      </w:r>
    </w:p>
    <w:p w14:paraId="0962D1FB" w14:textId="77777777" w:rsidR="00742906" w:rsidRPr="00F259E4" w:rsidRDefault="00742906" w:rsidP="00742906">
      <w:pPr>
        <w:ind w:left="360"/>
        <w:rPr>
          <w:rFonts w:cstheme="minorHAnsi"/>
          <w:lang w:val="en-US"/>
        </w:rPr>
      </w:pPr>
      <w:r w:rsidRPr="00F259E4">
        <w:rPr>
          <w:rFonts w:cstheme="minorHAnsi"/>
          <w:noProof/>
          <w:lang w:val="en-GB" w:eastAsia="en-GB"/>
        </w:rPr>
        <w:lastRenderedPageBreak/>
        <w:drawing>
          <wp:inline distT="0" distB="0" distL="0" distR="0" wp14:anchorId="0A7F852B" wp14:editId="59246889">
            <wp:extent cx="5731510" cy="164474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644747"/>
                    </a:xfrm>
                    <a:prstGeom prst="rect">
                      <a:avLst/>
                    </a:prstGeom>
                  </pic:spPr>
                </pic:pic>
              </a:graphicData>
            </a:graphic>
          </wp:inline>
        </w:drawing>
      </w:r>
    </w:p>
    <w:p w14:paraId="2F1E5291" w14:textId="09BC5C9B" w:rsidR="00742906" w:rsidRPr="00F259E4" w:rsidRDefault="00742906" w:rsidP="00273087">
      <w:pPr>
        <w:pStyle w:val="ListParagraph"/>
        <w:numPr>
          <w:ilvl w:val="0"/>
          <w:numId w:val="35"/>
        </w:numPr>
        <w:spacing w:after="160" w:line="259" w:lineRule="auto"/>
        <w:ind w:left="851" w:hanging="425"/>
        <w:rPr>
          <w:rFonts w:cstheme="minorHAnsi"/>
          <w:lang w:val="en-US"/>
        </w:rPr>
      </w:pPr>
      <w:r w:rsidRPr="00F259E4">
        <w:rPr>
          <w:rFonts w:cstheme="minorHAnsi"/>
          <w:lang w:val="en-US"/>
        </w:rPr>
        <w:t>Contact Energy</w:t>
      </w:r>
      <w:r w:rsidRPr="00F259E4">
        <w:rPr>
          <w:rStyle w:val="FootnoteReference"/>
          <w:rFonts w:cstheme="minorHAnsi"/>
          <w:lang w:val="en-US"/>
        </w:rPr>
        <w:footnoteReference w:id="46"/>
      </w:r>
      <w:r w:rsidR="00E40641">
        <w:rPr>
          <w:rFonts w:cstheme="minorHAnsi"/>
          <w:lang w:val="en-US"/>
        </w:rPr>
        <w:t xml:space="preserve"> reports as follows:</w:t>
      </w:r>
    </w:p>
    <w:p w14:paraId="395249FC" w14:textId="77777777" w:rsidR="00742906" w:rsidRPr="00F259E4" w:rsidRDefault="00742906" w:rsidP="00742906">
      <w:pPr>
        <w:ind w:left="360"/>
        <w:rPr>
          <w:rFonts w:cstheme="minorHAnsi"/>
          <w:lang w:val="en-US"/>
        </w:rPr>
      </w:pPr>
      <w:r w:rsidRPr="00F259E4">
        <w:rPr>
          <w:rFonts w:cstheme="minorHAnsi"/>
          <w:noProof/>
          <w:lang w:val="en-GB" w:eastAsia="en-GB"/>
        </w:rPr>
        <w:drawing>
          <wp:inline distT="0" distB="0" distL="0" distR="0" wp14:anchorId="64CB2629" wp14:editId="6083DD4B">
            <wp:extent cx="5731510" cy="1647809"/>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647809"/>
                    </a:xfrm>
                    <a:prstGeom prst="rect">
                      <a:avLst/>
                    </a:prstGeom>
                  </pic:spPr>
                </pic:pic>
              </a:graphicData>
            </a:graphic>
          </wp:inline>
        </w:drawing>
      </w:r>
    </w:p>
    <w:p w14:paraId="24ED2310" w14:textId="77777777" w:rsidR="00742906" w:rsidRPr="00F259E4" w:rsidRDefault="00742906" w:rsidP="00742906">
      <w:pPr>
        <w:ind w:left="360"/>
        <w:rPr>
          <w:rFonts w:cstheme="minorHAnsi"/>
          <w:lang w:val="en-US"/>
        </w:rPr>
      </w:pPr>
      <w:r w:rsidRPr="00F259E4">
        <w:rPr>
          <w:rFonts w:cstheme="minorHAnsi"/>
          <w:noProof/>
          <w:lang w:val="en-GB" w:eastAsia="en-GB"/>
        </w:rPr>
        <w:drawing>
          <wp:inline distT="0" distB="0" distL="0" distR="0" wp14:anchorId="3DCD5D63" wp14:editId="0A848253">
            <wp:extent cx="5731510" cy="390857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908571"/>
                    </a:xfrm>
                    <a:prstGeom prst="rect">
                      <a:avLst/>
                    </a:prstGeom>
                  </pic:spPr>
                </pic:pic>
              </a:graphicData>
            </a:graphic>
          </wp:inline>
        </w:drawing>
      </w:r>
    </w:p>
    <w:p w14:paraId="3866E079" w14:textId="77777777" w:rsidR="00742906" w:rsidRPr="00F259E4" w:rsidRDefault="00742906" w:rsidP="00742906">
      <w:pPr>
        <w:pStyle w:val="ListParagraph"/>
        <w:rPr>
          <w:rFonts w:cstheme="minorHAnsi"/>
          <w:lang w:val="en-US"/>
        </w:rPr>
      </w:pPr>
    </w:p>
    <w:p w14:paraId="5DBE5C9E" w14:textId="77777777" w:rsidR="00742906" w:rsidRPr="00F259E4" w:rsidRDefault="00742906" w:rsidP="00742906">
      <w:pPr>
        <w:pStyle w:val="ListParagraph"/>
        <w:rPr>
          <w:rFonts w:cstheme="minorHAnsi"/>
          <w:lang w:val="en-US"/>
        </w:rPr>
      </w:pPr>
    </w:p>
    <w:p w14:paraId="6AF4115B" w14:textId="7C7E9069" w:rsidR="00742906" w:rsidRPr="00F259E4" w:rsidRDefault="00742906" w:rsidP="00273087">
      <w:pPr>
        <w:pStyle w:val="ListParagraph"/>
        <w:numPr>
          <w:ilvl w:val="0"/>
          <w:numId w:val="35"/>
        </w:numPr>
        <w:spacing w:after="160" w:line="259" w:lineRule="auto"/>
        <w:ind w:left="851" w:hanging="425"/>
        <w:rPr>
          <w:rFonts w:cstheme="minorHAnsi"/>
          <w:lang w:val="en-US"/>
        </w:rPr>
      </w:pPr>
      <w:r w:rsidRPr="00F259E4">
        <w:rPr>
          <w:rFonts w:cstheme="minorHAnsi"/>
          <w:lang w:val="en-US"/>
        </w:rPr>
        <w:t>Trustpower</w:t>
      </w:r>
      <w:r w:rsidRPr="00F259E4">
        <w:rPr>
          <w:rStyle w:val="FootnoteReference"/>
          <w:rFonts w:cstheme="minorHAnsi"/>
          <w:lang w:val="en-US"/>
        </w:rPr>
        <w:footnoteReference w:id="47"/>
      </w:r>
      <w:r w:rsidR="00E40641">
        <w:rPr>
          <w:rFonts w:cstheme="minorHAnsi"/>
          <w:lang w:val="en-US"/>
        </w:rPr>
        <w:t xml:space="preserve"> reports as follows:</w:t>
      </w:r>
    </w:p>
    <w:p w14:paraId="304AC8D8" w14:textId="77777777" w:rsidR="00742906" w:rsidRPr="00F259E4" w:rsidRDefault="00742906" w:rsidP="00742906">
      <w:pPr>
        <w:ind w:left="360"/>
        <w:jc w:val="center"/>
        <w:rPr>
          <w:rFonts w:cstheme="minorHAnsi"/>
          <w:lang w:val="en-US"/>
        </w:rPr>
      </w:pPr>
      <w:r w:rsidRPr="00F259E4">
        <w:rPr>
          <w:rFonts w:cstheme="minorHAnsi"/>
          <w:noProof/>
          <w:lang w:val="en-GB" w:eastAsia="en-GB"/>
        </w:rPr>
        <w:drawing>
          <wp:inline distT="0" distB="0" distL="0" distR="0" wp14:anchorId="18885816" wp14:editId="41A804BB">
            <wp:extent cx="5731510" cy="2822279"/>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822279"/>
                    </a:xfrm>
                    <a:prstGeom prst="rect">
                      <a:avLst/>
                    </a:prstGeom>
                  </pic:spPr>
                </pic:pic>
              </a:graphicData>
            </a:graphic>
          </wp:inline>
        </w:drawing>
      </w:r>
    </w:p>
    <w:p w14:paraId="4007D8D1" w14:textId="6DEDEBCF" w:rsidR="00742906" w:rsidRPr="00F259E4" w:rsidRDefault="004F0525" w:rsidP="00273087">
      <w:pPr>
        <w:pStyle w:val="ListParagraph"/>
        <w:numPr>
          <w:ilvl w:val="0"/>
          <w:numId w:val="35"/>
        </w:numPr>
        <w:ind w:left="851" w:hanging="425"/>
        <w:contextualSpacing w:val="0"/>
        <w:rPr>
          <w:rFonts w:cstheme="minorHAnsi"/>
          <w:lang w:val="en-US"/>
        </w:rPr>
      </w:pPr>
      <w:r>
        <w:rPr>
          <w:rFonts w:cstheme="minorHAnsi"/>
          <w:lang w:val="en-US"/>
        </w:rPr>
        <w:t>Small retailers have point</w:t>
      </w:r>
      <w:r w:rsidR="0056449C">
        <w:rPr>
          <w:rFonts w:cstheme="minorHAnsi"/>
          <w:lang w:val="en-US"/>
        </w:rPr>
        <w:t>e</w:t>
      </w:r>
      <w:r>
        <w:rPr>
          <w:rFonts w:cstheme="minorHAnsi"/>
          <w:lang w:val="en-US"/>
        </w:rPr>
        <w:t xml:space="preserve">d out that </w:t>
      </w:r>
      <w:r w:rsidR="00E64D35">
        <w:rPr>
          <w:rFonts w:cstheme="minorHAnsi"/>
          <w:lang w:val="en-US"/>
        </w:rPr>
        <w:t xml:space="preserve">there is a lack of </w:t>
      </w:r>
      <w:r w:rsidR="0056449C">
        <w:rPr>
          <w:rFonts w:cstheme="minorHAnsi"/>
          <w:lang w:val="en-US"/>
        </w:rPr>
        <w:t>transparency</w:t>
      </w:r>
      <w:r w:rsidR="00E64D35">
        <w:rPr>
          <w:rFonts w:cstheme="minorHAnsi"/>
          <w:lang w:val="en-US"/>
        </w:rPr>
        <w:t xml:space="preserve"> in both the generation and re</w:t>
      </w:r>
      <w:r w:rsidR="0056449C">
        <w:rPr>
          <w:rFonts w:cstheme="minorHAnsi"/>
          <w:lang w:val="en-US"/>
        </w:rPr>
        <w:t>tail segments. This</w:t>
      </w:r>
      <w:r w:rsidR="00742906" w:rsidRPr="00F259E4">
        <w:rPr>
          <w:rFonts w:cstheme="minorHAnsi"/>
          <w:lang w:val="en-US"/>
        </w:rPr>
        <w:t xml:space="preserve"> lack of transparency leads to suspicions that the profitable generation unit of a gentailer’s business </w:t>
      </w:r>
      <w:r w:rsidR="00BB68EF">
        <w:rPr>
          <w:rFonts w:cstheme="minorHAnsi"/>
          <w:lang w:val="en-US"/>
        </w:rPr>
        <w:t>is</w:t>
      </w:r>
      <w:r w:rsidR="00742906" w:rsidRPr="00F259E4">
        <w:rPr>
          <w:rFonts w:cstheme="minorHAnsi"/>
          <w:lang w:val="en-US"/>
        </w:rPr>
        <w:t xml:space="preserve"> used to subsidise lower margins on the retail side. Pure retailers do not have the option to cross subsidise.</w:t>
      </w:r>
    </w:p>
    <w:p w14:paraId="0815954F" w14:textId="77777777" w:rsidR="00742906" w:rsidRPr="00F259E4" w:rsidRDefault="00742906" w:rsidP="00273087">
      <w:pPr>
        <w:pStyle w:val="ListParagraph"/>
        <w:numPr>
          <w:ilvl w:val="0"/>
          <w:numId w:val="35"/>
        </w:numPr>
        <w:ind w:left="851" w:hanging="425"/>
        <w:contextualSpacing w:val="0"/>
        <w:rPr>
          <w:rFonts w:cstheme="minorHAnsi"/>
          <w:lang w:val="en-US"/>
        </w:rPr>
      </w:pPr>
      <w:r w:rsidRPr="00F259E4">
        <w:rPr>
          <w:rFonts w:cstheme="minorHAnsi"/>
          <w:lang w:val="en-US"/>
        </w:rPr>
        <w:t>According to one retailer “</w:t>
      </w:r>
      <w:r w:rsidRPr="00F259E4">
        <w:rPr>
          <w:rFonts w:cstheme="minorHAnsi"/>
          <w:i/>
          <w:lang w:val="en-US"/>
        </w:rPr>
        <w:t>We need to know how much money is made in each part of generation and retailing, and the wealth transfer.  If competition is hot, they can increase costs in generation, and lower retail margins.</w:t>
      </w:r>
      <w:r w:rsidRPr="00F259E4">
        <w:rPr>
          <w:rFonts w:cstheme="minorHAnsi"/>
          <w:lang w:val="en-US"/>
        </w:rPr>
        <w:t>”</w:t>
      </w:r>
    </w:p>
    <w:p w14:paraId="3F0DA0D6" w14:textId="78A51A4F" w:rsidR="00742906" w:rsidRPr="00F259E4" w:rsidRDefault="00742906" w:rsidP="00273087">
      <w:pPr>
        <w:pStyle w:val="ListParagraph"/>
        <w:numPr>
          <w:ilvl w:val="0"/>
          <w:numId w:val="35"/>
        </w:numPr>
        <w:ind w:left="851" w:hanging="425"/>
        <w:contextualSpacing w:val="0"/>
        <w:rPr>
          <w:rFonts w:cstheme="minorHAnsi"/>
          <w:lang w:val="en-US"/>
        </w:rPr>
      </w:pPr>
      <w:r w:rsidRPr="00F259E4">
        <w:rPr>
          <w:rFonts w:cstheme="minorHAnsi"/>
          <w:lang w:val="en-US"/>
        </w:rPr>
        <w:t xml:space="preserve">While retail and wholesale activities include some other activities, the following simplistic analysis reveals that wholesale /generation profitability provides a significant buffer to support retail activity for all gentailers based on results for the </w:t>
      </w:r>
      <w:r w:rsidR="00EA12CD">
        <w:rPr>
          <w:rFonts w:cstheme="minorHAnsi"/>
          <w:lang w:val="en-US"/>
        </w:rPr>
        <w:t>12</w:t>
      </w:r>
      <w:r w:rsidRPr="00F259E4">
        <w:rPr>
          <w:rFonts w:cstheme="minorHAnsi"/>
          <w:lang w:val="en-US"/>
        </w:rPr>
        <w:t xml:space="preserve"> months ended in 2018</w:t>
      </w:r>
      <w:r w:rsidRPr="00F259E4">
        <w:rPr>
          <w:rStyle w:val="FootnoteReference"/>
          <w:rFonts w:cstheme="minorHAnsi"/>
          <w:lang w:val="en-US"/>
        </w:rPr>
        <w:footnoteReference w:id="48"/>
      </w:r>
      <w:r w:rsidRPr="00F259E4">
        <w:rPr>
          <w:rFonts w:cstheme="minorHAnsi"/>
          <w:lang w:val="en-US"/>
        </w:rPr>
        <w:t>. Generation</w:t>
      </w:r>
      <w:r w:rsidR="009048FC">
        <w:rPr>
          <w:rFonts w:cstheme="minorHAnsi"/>
          <w:lang w:val="en-US"/>
        </w:rPr>
        <w:t>-</w:t>
      </w:r>
      <w:r w:rsidRPr="00F259E4">
        <w:rPr>
          <w:rFonts w:cstheme="minorHAnsi"/>
          <w:lang w:val="en-US"/>
        </w:rPr>
        <w:t>related activities contribute on average 84% of total EBITDAF</w:t>
      </w:r>
      <w:r w:rsidR="009048FC">
        <w:rPr>
          <w:rFonts w:cstheme="minorHAnsi"/>
          <w:lang w:val="en-US"/>
        </w:rPr>
        <w:t>:</w:t>
      </w:r>
    </w:p>
    <w:p w14:paraId="08E000DF" w14:textId="77777777" w:rsidR="00742906" w:rsidRPr="00F259E4" w:rsidRDefault="00742906" w:rsidP="00742906">
      <w:pPr>
        <w:rPr>
          <w:rFonts w:cstheme="minorHAnsi"/>
          <w:lang w:val="en-US"/>
        </w:rPr>
      </w:pPr>
    </w:p>
    <w:p w14:paraId="148E174C" w14:textId="77777777" w:rsidR="00742906" w:rsidRPr="00F259E4" w:rsidRDefault="00742906" w:rsidP="00742906">
      <w:pPr>
        <w:jc w:val="center"/>
        <w:rPr>
          <w:rFonts w:cstheme="minorHAnsi"/>
          <w:lang w:val="en-US"/>
        </w:rPr>
      </w:pPr>
      <w:r w:rsidRPr="00F259E4">
        <w:rPr>
          <w:rFonts w:cstheme="minorHAnsi"/>
          <w:noProof/>
          <w:lang w:val="en-GB" w:eastAsia="en-GB"/>
        </w:rPr>
        <w:drawing>
          <wp:inline distT="0" distB="0" distL="0" distR="0" wp14:anchorId="65CA515F" wp14:editId="1DA0A8BE">
            <wp:extent cx="4591050" cy="1724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1724025"/>
                    </a:xfrm>
                    <a:prstGeom prst="rect">
                      <a:avLst/>
                    </a:prstGeom>
                    <a:noFill/>
                    <a:ln>
                      <a:noFill/>
                    </a:ln>
                  </pic:spPr>
                </pic:pic>
              </a:graphicData>
            </a:graphic>
          </wp:inline>
        </w:drawing>
      </w:r>
    </w:p>
    <w:p w14:paraId="2A207F80" w14:textId="79D4838C" w:rsidR="00742906" w:rsidRPr="00F259E4" w:rsidRDefault="00742906" w:rsidP="00273087">
      <w:pPr>
        <w:pStyle w:val="ListParagraph"/>
        <w:numPr>
          <w:ilvl w:val="0"/>
          <w:numId w:val="51"/>
        </w:numPr>
        <w:spacing w:after="360"/>
        <w:ind w:left="850" w:hanging="425"/>
        <w:contextualSpacing w:val="0"/>
        <w:rPr>
          <w:rFonts w:cstheme="minorHAnsi"/>
          <w:lang w:val="en-US"/>
        </w:rPr>
      </w:pPr>
      <w:r w:rsidRPr="00F259E4">
        <w:rPr>
          <w:rFonts w:cstheme="minorHAnsi"/>
          <w:lang w:val="en-US"/>
        </w:rPr>
        <w:lastRenderedPageBreak/>
        <w:t>The lower ratio of generation EBITDAF to total EBITDAF for Genesis reflects the company’s position as the largest electricity retailer</w:t>
      </w:r>
      <w:r w:rsidR="00614D4E">
        <w:rPr>
          <w:rFonts w:cstheme="minorHAnsi"/>
          <w:lang w:val="en-US"/>
        </w:rPr>
        <w:t>,</w:t>
      </w:r>
      <w:r w:rsidRPr="00F259E4">
        <w:rPr>
          <w:rFonts w:cstheme="minorHAnsi"/>
          <w:lang w:val="en-US"/>
        </w:rPr>
        <w:t xml:space="preserve"> and </w:t>
      </w:r>
      <w:r w:rsidR="00614D4E">
        <w:rPr>
          <w:rFonts w:cstheme="minorHAnsi"/>
          <w:lang w:val="en-US"/>
        </w:rPr>
        <w:t>reports include</w:t>
      </w:r>
      <w:r w:rsidR="00E0401B">
        <w:rPr>
          <w:rFonts w:cstheme="minorHAnsi"/>
          <w:lang w:val="en-US"/>
        </w:rPr>
        <w:t xml:space="preserve"> </w:t>
      </w:r>
      <w:r w:rsidRPr="00F259E4">
        <w:rPr>
          <w:rFonts w:cstheme="minorHAnsi"/>
          <w:lang w:val="en-US"/>
        </w:rPr>
        <w:t>retailing of other products such as gas and LPG.</w:t>
      </w:r>
    </w:p>
    <w:p w14:paraId="052E6894" w14:textId="6CD552D8" w:rsidR="00742906" w:rsidRPr="00A375FD" w:rsidRDefault="00742906" w:rsidP="00401EF6">
      <w:pPr>
        <w:pStyle w:val="Heading2"/>
        <w:spacing w:after="360"/>
      </w:pPr>
      <w:r w:rsidRPr="00F36512">
        <w:t>Recommendation</w:t>
      </w:r>
      <w:r w:rsidR="00371DF5">
        <w:t xml:space="preserve"> 4.4</w:t>
      </w:r>
      <w:r w:rsidR="00F36512">
        <w:t>:</w:t>
      </w:r>
      <w:r w:rsidR="00A375FD">
        <w:t xml:space="preserve"> </w:t>
      </w:r>
      <w:r w:rsidR="00FD0DBE" w:rsidRPr="00FD0DBE">
        <w:t xml:space="preserve">That the </w:t>
      </w:r>
      <w:r w:rsidR="00F66A2B">
        <w:t>Panel</w:t>
      </w:r>
      <w:r w:rsidR="00FD0DBE" w:rsidRPr="00FD0DBE">
        <w:t xml:space="preserve"> notes concerns raised about gentailer transfer pricing, and promotes solutions to improve transparency of generator</w:t>
      </w:r>
      <w:r w:rsidR="00A375FD">
        <w:br/>
      </w:r>
      <w:r w:rsidR="00FD0DBE" w:rsidRPr="00FD0DBE">
        <w:t>and retailer financial reporting.</w:t>
      </w:r>
    </w:p>
    <w:p w14:paraId="606EBA53" w14:textId="77777777" w:rsidR="00742906" w:rsidRPr="00F259E4" w:rsidRDefault="00742906" w:rsidP="00742906">
      <w:pPr>
        <w:rPr>
          <w:rFonts w:cstheme="minorHAnsi"/>
          <w:b/>
          <w:sz w:val="24"/>
        </w:rPr>
      </w:pPr>
      <w:r w:rsidRPr="00F259E4">
        <w:rPr>
          <w:rFonts w:cstheme="minorHAnsi"/>
          <w:b/>
          <w:sz w:val="24"/>
        </w:rPr>
        <w:t>Transmission</w:t>
      </w:r>
    </w:p>
    <w:p w14:paraId="12EEE3B6" w14:textId="77777777" w:rsidR="00742906" w:rsidRPr="00F36512" w:rsidRDefault="00742906" w:rsidP="00273087">
      <w:pPr>
        <w:pStyle w:val="ListParagraph"/>
        <w:numPr>
          <w:ilvl w:val="0"/>
          <w:numId w:val="36"/>
        </w:numPr>
        <w:spacing w:after="360"/>
        <w:ind w:left="425" w:hanging="425"/>
        <w:contextualSpacing w:val="0"/>
        <w:rPr>
          <w:rFonts w:cstheme="minorHAnsi"/>
          <w:b/>
          <w:sz w:val="24"/>
        </w:rPr>
      </w:pPr>
      <w:r w:rsidRPr="00F36512">
        <w:rPr>
          <w:rStyle w:val="Strong"/>
          <w:rFonts w:cstheme="minorHAnsi"/>
          <w:i w:val="0"/>
          <w:color w:val="000000" w:themeColor="text1"/>
          <w:sz w:val="22"/>
          <w:szCs w:val="22"/>
        </w:rPr>
        <w:t>What are your views on the process, timing and fairness aspects of the transmission pricing methodology?</w:t>
      </w:r>
    </w:p>
    <w:p w14:paraId="71A2839F" w14:textId="0D0440D0" w:rsidR="00742906" w:rsidRPr="00F36512" w:rsidRDefault="00742906" w:rsidP="00401EF6">
      <w:pPr>
        <w:pStyle w:val="Heading2"/>
        <w:spacing w:after="360"/>
      </w:pPr>
      <w:r w:rsidRPr="00F36512">
        <w:t>Recommendation</w:t>
      </w:r>
      <w:r w:rsidR="00CF1BE7">
        <w:t xml:space="preserve"> 4.5</w:t>
      </w:r>
      <w:r w:rsidRPr="00F36512">
        <w:t xml:space="preserve">: </w:t>
      </w:r>
      <w:r w:rsidR="00940360" w:rsidRPr="00940360">
        <w:t>That the Electricity Authority seeks pragmatic solutions that will enable it to complete its review of the transmission pricing methodology as soon as possible.</w:t>
      </w:r>
      <w:r w:rsidRPr="00F36512">
        <w:t xml:space="preserve"> </w:t>
      </w:r>
    </w:p>
    <w:p w14:paraId="28089597" w14:textId="28C3958A" w:rsidR="00C90DCC" w:rsidRPr="008826BF" w:rsidRDefault="00742906" w:rsidP="008826BF">
      <w:pPr>
        <w:rPr>
          <w:rStyle w:val="Strong"/>
          <w:rFonts w:cstheme="minorHAnsi"/>
          <w:bCs w:val="0"/>
          <w:i w:val="0"/>
          <w:sz w:val="24"/>
          <w:szCs w:val="22"/>
        </w:rPr>
      </w:pPr>
      <w:r w:rsidRPr="00F259E4">
        <w:rPr>
          <w:rFonts w:cstheme="minorHAnsi"/>
          <w:b/>
          <w:sz w:val="24"/>
        </w:rPr>
        <w:t>Distribution</w:t>
      </w:r>
      <w:r w:rsidR="008826BF">
        <w:rPr>
          <w:rFonts w:cstheme="minorHAnsi"/>
          <w:b/>
          <w:sz w:val="24"/>
        </w:rPr>
        <w:br/>
      </w:r>
      <w:r w:rsidR="00EB16E6">
        <w:rPr>
          <w:rStyle w:val="Strong"/>
          <w:rFonts w:cstheme="minorHAnsi"/>
          <w:i w:val="0"/>
          <w:color w:val="000000" w:themeColor="text1"/>
          <w:sz w:val="22"/>
          <w:szCs w:val="22"/>
        </w:rPr>
        <w:t xml:space="preserve">20.   </w:t>
      </w:r>
      <w:r w:rsidRPr="008826BF">
        <w:rPr>
          <w:rStyle w:val="Strong"/>
          <w:rFonts w:cstheme="minorHAnsi"/>
          <w:i w:val="0"/>
          <w:color w:val="000000" w:themeColor="text1"/>
          <w:sz w:val="22"/>
          <w:szCs w:val="22"/>
        </w:rPr>
        <w:t>What are your views on the assessment</w:t>
      </w:r>
      <w:r w:rsidRPr="008826BF" w:rsidDel="00DA3D4B">
        <w:rPr>
          <w:rStyle w:val="Strong"/>
          <w:rFonts w:cstheme="minorHAnsi"/>
          <w:i w:val="0"/>
          <w:color w:val="000000" w:themeColor="text1"/>
          <w:sz w:val="22"/>
          <w:szCs w:val="22"/>
        </w:rPr>
        <w:t xml:space="preserve"> </w:t>
      </w:r>
      <w:r w:rsidRPr="008826BF">
        <w:rPr>
          <w:rStyle w:val="Strong"/>
          <w:rFonts w:cstheme="minorHAnsi"/>
          <w:i w:val="0"/>
          <w:color w:val="000000" w:themeColor="text1"/>
          <w:sz w:val="22"/>
          <w:szCs w:val="22"/>
        </w:rPr>
        <w:t>of distributors’ profits?</w:t>
      </w:r>
      <w:r w:rsidR="00C90DCC" w:rsidRPr="008826BF">
        <w:rPr>
          <w:rStyle w:val="Strong"/>
          <w:rFonts w:cstheme="minorHAnsi"/>
          <w:i w:val="0"/>
          <w:color w:val="000000" w:themeColor="text1"/>
          <w:sz w:val="22"/>
          <w:szCs w:val="22"/>
        </w:rPr>
        <w:t xml:space="preserve"> </w:t>
      </w:r>
    </w:p>
    <w:p w14:paraId="53A6AC41" w14:textId="686FE748" w:rsidR="00742906" w:rsidRPr="00C90DCC" w:rsidRDefault="00742906" w:rsidP="009E312C">
      <w:pPr>
        <w:pStyle w:val="ListParagraph"/>
        <w:keepNext/>
        <w:numPr>
          <w:ilvl w:val="0"/>
          <w:numId w:val="13"/>
        </w:numPr>
        <w:ind w:left="851" w:hanging="425"/>
        <w:contextualSpacing w:val="0"/>
        <w:jc w:val="both"/>
        <w:rPr>
          <w:rFonts w:cstheme="minorHAnsi"/>
          <w:bCs/>
          <w:color w:val="000000" w:themeColor="text1"/>
          <w:lang w:eastAsia="en-NZ"/>
        </w:rPr>
      </w:pPr>
      <w:r w:rsidRPr="00C90DCC">
        <w:rPr>
          <w:rFonts w:cstheme="minorHAnsi"/>
          <w:color w:val="000000" w:themeColor="text1"/>
          <w:lang w:eastAsia="en-NZ"/>
        </w:rPr>
        <w:t xml:space="preserve">ENA agrees with the assessment of distributor profits. </w:t>
      </w:r>
    </w:p>
    <w:p w14:paraId="3C2B2AD5" w14:textId="77777777" w:rsidR="00742906" w:rsidRPr="00F259E4" w:rsidRDefault="00742906" w:rsidP="00273087">
      <w:pPr>
        <w:pStyle w:val="ListParagraph"/>
        <w:keepNext/>
        <w:numPr>
          <w:ilvl w:val="0"/>
          <w:numId w:val="13"/>
        </w:numPr>
        <w:ind w:left="851" w:hanging="425"/>
        <w:contextualSpacing w:val="0"/>
        <w:rPr>
          <w:rFonts w:cstheme="minorHAnsi"/>
          <w:b/>
          <w:bCs/>
          <w:color w:val="000000" w:themeColor="text1"/>
          <w:lang w:eastAsia="en-NZ"/>
        </w:rPr>
      </w:pPr>
      <w:r w:rsidRPr="00F259E4">
        <w:rPr>
          <w:rFonts w:cstheme="minorHAnsi"/>
          <w:color w:val="000000" w:themeColor="text1"/>
          <w:lang w:eastAsia="en-NZ"/>
        </w:rPr>
        <w:t xml:space="preserve">The key point is that distributor prices are regulated by the Commerce Commission, and EDBs must meet minimum quality standards. From 2020, EDB revenues will be regulated. </w:t>
      </w:r>
    </w:p>
    <w:p w14:paraId="5F16F276" w14:textId="77777777" w:rsidR="00742906" w:rsidRPr="00F259E4" w:rsidRDefault="00742906" w:rsidP="00273087">
      <w:pPr>
        <w:pStyle w:val="ListParagraph"/>
        <w:keepNext/>
        <w:numPr>
          <w:ilvl w:val="0"/>
          <w:numId w:val="13"/>
        </w:numPr>
        <w:ind w:left="851" w:hanging="425"/>
        <w:contextualSpacing w:val="0"/>
        <w:rPr>
          <w:rFonts w:cstheme="minorHAnsi"/>
          <w:bCs/>
          <w:color w:val="000000" w:themeColor="text1"/>
          <w:lang w:eastAsia="en-NZ"/>
        </w:rPr>
      </w:pPr>
      <w:r w:rsidRPr="00F259E4">
        <w:rPr>
          <w:rFonts w:cstheme="minorHAnsi"/>
          <w:color w:val="000000" w:themeColor="text1"/>
          <w:lang w:eastAsia="en-NZ"/>
        </w:rPr>
        <w:t>Overall, Part 4 regime of the Commerce Act is working adequately. The regime is quite new (introduced in 2008) and there are still wrinkles to iron out, but overall it does the job it set out to do.</w:t>
      </w:r>
    </w:p>
    <w:p w14:paraId="0E6084D8" w14:textId="078E2AE2" w:rsidR="00742906" w:rsidRPr="00F259E4" w:rsidRDefault="00742906" w:rsidP="00273087">
      <w:pPr>
        <w:pStyle w:val="ListParagraph"/>
        <w:keepNext/>
        <w:numPr>
          <w:ilvl w:val="0"/>
          <w:numId w:val="13"/>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ENA also points out that, in 2017, $402 million was passed on by EDBs to consumers, communities and private shareholders.  (2016: $422m, 2015: $402m)</w:t>
      </w:r>
      <w:r w:rsidR="00274F11">
        <w:rPr>
          <w:rStyle w:val="FootnoteReference"/>
          <w:rFonts w:cstheme="minorHAnsi"/>
          <w:bCs/>
          <w:color w:val="000000" w:themeColor="text1"/>
          <w:lang w:eastAsia="en-NZ"/>
        </w:rPr>
        <w:footnoteReference w:id="49"/>
      </w:r>
      <w:r w:rsidRPr="00F259E4">
        <w:rPr>
          <w:rFonts w:cstheme="minorHAnsi"/>
          <w:bCs/>
          <w:color w:val="000000" w:themeColor="text1"/>
          <w:lang w:eastAsia="en-NZ"/>
        </w:rPr>
        <w:t xml:space="preserve">. </w:t>
      </w:r>
    </w:p>
    <w:p w14:paraId="27D4FC21" w14:textId="77777777" w:rsidR="00742906" w:rsidRPr="00F259E4" w:rsidRDefault="00742906" w:rsidP="00273087">
      <w:pPr>
        <w:pStyle w:val="ListParagraph"/>
        <w:keepNext/>
        <w:numPr>
          <w:ilvl w:val="0"/>
          <w:numId w:val="13"/>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Of this, in 2017, $216m was provided directly to consumers through discounted prices, dividends to consumer trusts or rebates (2016: $231m, 2015: $224m).</w:t>
      </w:r>
    </w:p>
    <w:p w14:paraId="30D95787" w14:textId="77777777" w:rsidR="00742906" w:rsidRPr="00F259E4" w:rsidRDefault="00742906" w:rsidP="00273087">
      <w:pPr>
        <w:pStyle w:val="ListParagraph"/>
        <w:keepNext/>
        <w:numPr>
          <w:ilvl w:val="0"/>
          <w:numId w:val="13"/>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In addition, in 2017, $87m was contributed to community trusts and local councils (2016: $93m, 2015 $82m).</w:t>
      </w:r>
    </w:p>
    <w:p w14:paraId="1CFFB235" w14:textId="77777777" w:rsidR="00742906" w:rsidRPr="00F259E4" w:rsidRDefault="00742906" w:rsidP="00273087">
      <w:pPr>
        <w:pStyle w:val="ListParagraph"/>
        <w:keepNext/>
        <w:numPr>
          <w:ilvl w:val="0"/>
          <w:numId w:val="13"/>
        </w:numPr>
        <w:ind w:left="851" w:hanging="425"/>
        <w:contextualSpacing w:val="0"/>
        <w:rPr>
          <w:rFonts w:cstheme="minorHAnsi"/>
          <w:bCs/>
          <w:color w:val="000000" w:themeColor="text1"/>
          <w:lang w:eastAsia="en-NZ"/>
        </w:rPr>
      </w:pPr>
      <w:r w:rsidRPr="00F259E4">
        <w:rPr>
          <w:rFonts w:cstheme="minorHAnsi"/>
          <w:color w:val="000000" w:themeColor="text1"/>
          <w:lang w:eastAsia="en-NZ"/>
        </w:rPr>
        <w:t>ENA does not agree with stakeholders who allege there is potential for distributors to cross-subsidise a competitive business with their own monopoly network business.</w:t>
      </w:r>
    </w:p>
    <w:p w14:paraId="18645EC4" w14:textId="1584097E" w:rsidR="00C47625" w:rsidRDefault="00742906" w:rsidP="00273087">
      <w:pPr>
        <w:pStyle w:val="ListParagraph"/>
        <w:keepNext/>
        <w:numPr>
          <w:ilvl w:val="0"/>
          <w:numId w:val="13"/>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The Commerce Commission and Electricity Authority are both aware of this issue. The Commission recently said that EV chargers outside of depots could not be included in regulated asset bases. And the Commission </w:t>
      </w:r>
      <w:r w:rsidR="00CD48AE">
        <w:rPr>
          <w:rFonts w:cstheme="minorHAnsi"/>
          <w:color w:val="000000" w:themeColor="text1"/>
          <w:lang w:eastAsia="en-NZ"/>
        </w:rPr>
        <w:t>recently called</w:t>
      </w:r>
      <w:r w:rsidRPr="00F259E4">
        <w:rPr>
          <w:rFonts w:cstheme="minorHAnsi"/>
          <w:color w:val="000000" w:themeColor="text1"/>
          <w:lang w:eastAsia="en-NZ"/>
        </w:rPr>
        <w:t xml:space="preserve"> in more information to help it make further decisions about EDB investments in new network technologies.</w:t>
      </w:r>
    </w:p>
    <w:p w14:paraId="7FC9A920" w14:textId="54F534ED" w:rsidR="00742906" w:rsidRPr="00C47625" w:rsidRDefault="00C47625" w:rsidP="00C47625">
      <w:pPr>
        <w:rPr>
          <w:rFonts w:cstheme="minorHAnsi"/>
          <w:color w:val="000000" w:themeColor="text1"/>
          <w:lang w:eastAsia="en-NZ"/>
        </w:rPr>
      </w:pPr>
      <w:r>
        <w:rPr>
          <w:rFonts w:cstheme="minorHAnsi"/>
          <w:color w:val="000000" w:themeColor="text1"/>
          <w:lang w:eastAsia="en-NZ"/>
        </w:rPr>
        <w:br w:type="page"/>
      </w:r>
    </w:p>
    <w:p w14:paraId="1E17F14D" w14:textId="6A603AAC" w:rsidR="00742906" w:rsidRPr="00EB33BE" w:rsidRDefault="00742906" w:rsidP="00273087">
      <w:pPr>
        <w:pStyle w:val="ListParagraph"/>
        <w:keepNext/>
        <w:numPr>
          <w:ilvl w:val="0"/>
          <w:numId w:val="13"/>
        </w:numPr>
        <w:spacing w:after="360"/>
        <w:ind w:left="851" w:hanging="425"/>
        <w:contextualSpacing w:val="0"/>
        <w:rPr>
          <w:rFonts w:cstheme="minorHAnsi"/>
          <w:color w:val="000000" w:themeColor="text1"/>
          <w:lang w:eastAsia="en-NZ"/>
        </w:rPr>
      </w:pPr>
      <w:r w:rsidRPr="00F259E4">
        <w:rPr>
          <w:rFonts w:cstheme="minorHAnsi"/>
          <w:color w:val="000000" w:themeColor="text1"/>
          <w:lang w:eastAsia="en-NZ"/>
        </w:rPr>
        <w:lastRenderedPageBreak/>
        <w:t>Meanwhile the Commission in April 2018 substantially strengthened its related-party transaction rules on the accounting treatment and required disclosure of unregulated verses unregulated activities.</w:t>
      </w:r>
    </w:p>
    <w:p w14:paraId="1790E8A6" w14:textId="4FFF818E" w:rsidR="00742906" w:rsidRPr="00EB16E6" w:rsidRDefault="00742906" w:rsidP="00EB16E6">
      <w:pPr>
        <w:pStyle w:val="ListParagraph"/>
        <w:numPr>
          <w:ilvl w:val="0"/>
          <w:numId w:val="67"/>
        </w:numPr>
        <w:ind w:left="720" w:hanging="630"/>
        <w:jc w:val="both"/>
        <w:rPr>
          <w:rStyle w:val="Strong"/>
          <w:rFonts w:cstheme="minorHAnsi"/>
          <w:i w:val="0"/>
          <w:color w:val="000000" w:themeColor="text1"/>
          <w:sz w:val="22"/>
          <w:szCs w:val="22"/>
        </w:rPr>
      </w:pPr>
      <w:r w:rsidRPr="00EB16E6">
        <w:rPr>
          <w:rStyle w:val="Strong"/>
          <w:rFonts w:cstheme="minorHAnsi"/>
          <w:i w:val="0"/>
          <w:color w:val="000000" w:themeColor="text1"/>
          <w:sz w:val="22"/>
          <w:szCs w:val="22"/>
        </w:rPr>
        <w:t>What are your views on the assessment of barriers to greater efficiency for distributors?</w:t>
      </w:r>
    </w:p>
    <w:p w14:paraId="2D39DB55" w14:textId="77777777" w:rsidR="00742906" w:rsidRPr="00401EF6" w:rsidRDefault="00742906" w:rsidP="00427AC2">
      <w:pPr>
        <w:pStyle w:val="Heading4"/>
        <w:rPr>
          <w:bCs/>
          <w:i w:val="0"/>
          <w:color w:val="000000" w:themeColor="text1"/>
          <w:lang w:eastAsia="en-NZ"/>
        </w:rPr>
      </w:pPr>
      <w:r w:rsidRPr="00401EF6">
        <w:rPr>
          <w:i w:val="0"/>
          <w:color w:val="000000" w:themeColor="text1"/>
          <w:lang w:eastAsia="en-NZ"/>
        </w:rPr>
        <w:t>Price Structures</w:t>
      </w:r>
    </w:p>
    <w:p w14:paraId="1FA01A1B" w14:textId="14DD95F2" w:rsidR="00742906" w:rsidRPr="00A107E9" w:rsidRDefault="00742906" w:rsidP="00273087">
      <w:pPr>
        <w:pStyle w:val="ListParagraph"/>
        <w:numPr>
          <w:ilvl w:val="0"/>
          <w:numId w:val="16"/>
        </w:numPr>
        <w:ind w:left="538" w:hanging="357"/>
        <w:contextualSpacing w:val="0"/>
        <w:rPr>
          <w:rFonts w:cstheme="minorHAnsi"/>
          <w:b/>
        </w:rPr>
      </w:pPr>
      <w:r w:rsidRPr="00F259E4">
        <w:rPr>
          <w:rFonts w:cstheme="minorHAnsi"/>
        </w:rPr>
        <w:t>The distribution industry agrees that its pricing structures need to be modernised and has already started down that path.  But pricing reform must be managed carefully to mitigate the negative impact on some consumers, especially less informed or engaged consumers and consumers in energy hardship.</w:t>
      </w:r>
    </w:p>
    <w:p w14:paraId="5C16498F" w14:textId="33D954F8" w:rsidR="00742906" w:rsidRPr="00F259E4" w:rsidRDefault="00742906" w:rsidP="00273087">
      <w:pPr>
        <w:pStyle w:val="ListParagraph"/>
        <w:numPr>
          <w:ilvl w:val="0"/>
          <w:numId w:val="16"/>
        </w:numPr>
        <w:ind w:left="538" w:hanging="357"/>
        <w:contextualSpacing w:val="0"/>
        <w:rPr>
          <w:rFonts w:cstheme="minorHAnsi"/>
        </w:rPr>
      </w:pPr>
      <w:r w:rsidRPr="00F259E4">
        <w:rPr>
          <w:rFonts w:cstheme="minorHAnsi"/>
        </w:rPr>
        <w:t xml:space="preserve">The ENA published a </w:t>
      </w:r>
      <w:hyperlink r:id="rId39" w:history="1">
        <w:r w:rsidRPr="00CC73BF">
          <w:rPr>
            <w:rStyle w:val="Hyperlink"/>
            <w:rFonts w:cstheme="minorHAnsi"/>
          </w:rPr>
          <w:t>substantial paper looking at the options for reform in 2017</w:t>
        </w:r>
      </w:hyperlink>
      <w:r w:rsidRPr="00F259E4">
        <w:rPr>
          <w:rFonts w:cstheme="minorHAnsi"/>
        </w:rPr>
        <w:t>, and its members prepare six-monthly roadmaps for the Electricity Authority.</w:t>
      </w:r>
    </w:p>
    <w:p w14:paraId="5E10E54A" w14:textId="77777777" w:rsidR="00742906" w:rsidRPr="00F259E4" w:rsidRDefault="00742906" w:rsidP="00273087">
      <w:pPr>
        <w:pStyle w:val="ListParagraph"/>
        <w:numPr>
          <w:ilvl w:val="0"/>
          <w:numId w:val="16"/>
        </w:numPr>
        <w:ind w:left="538" w:hanging="357"/>
        <w:contextualSpacing w:val="0"/>
        <w:rPr>
          <w:rFonts w:cstheme="minorHAnsi"/>
        </w:rPr>
      </w:pPr>
      <w:r w:rsidRPr="00F259E4">
        <w:rPr>
          <w:rFonts w:cstheme="minorHAnsi"/>
        </w:rPr>
        <w:t>Members are collectively and individually testing different ways to charge for network services so consumers have incentives to use electricity in ways that will save them money immediately, and also over the longer term.</w:t>
      </w:r>
    </w:p>
    <w:p w14:paraId="493928C4" w14:textId="4D76467C" w:rsidR="00742906" w:rsidRDefault="00742906" w:rsidP="00273087">
      <w:pPr>
        <w:pStyle w:val="ListParagraph"/>
        <w:numPr>
          <w:ilvl w:val="0"/>
          <w:numId w:val="16"/>
        </w:numPr>
        <w:ind w:left="538" w:hanging="357"/>
        <w:contextualSpacing w:val="0"/>
        <w:rPr>
          <w:rFonts w:cstheme="minorHAnsi"/>
        </w:rPr>
      </w:pPr>
      <w:r w:rsidRPr="00F259E4">
        <w:rPr>
          <w:rFonts w:cstheme="minorHAnsi"/>
        </w:rPr>
        <w:t xml:space="preserve">Changes must be supported by consumers, and other important stakeholders such as electricity retailers. That’s why discussions on pricing reform need to focus on the end consumer and encourage consumers’ active participation around new pricing options. </w:t>
      </w:r>
      <w:r w:rsidR="00302541">
        <w:rPr>
          <w:rFonts w:cstheme="minorHAnsi"/>
        </w:rPr>
        <w:t>P</w:t>
      </w:r>
      <w:r w:rsidRPr="00F259E4">
        <w:rPr>
          <w:rFonts w:cstheme="minorHAnsi"/>
        </w:rPr>
        <w:t xml:space="preserve">ricing reform </w:t>
      </w:r>
      <w:r w:rsidR="00375C6A">
        <w:rPr>
          <w:rFonts w:cstheme="minorHAnsi"/>
        </w:rPr>
        <w:t xml:space="preserve">must </w:t>
      </w:r>
      <w:r w:rsidR="00167A60">
        <w:rPr>
          <w:rFonts w:cstheme="minorHAnsi"/>
        </w:rPr>
        <w:t xml:space="preserve">not </w:t>
      </w:r>
      <w:r w:rsidR="00375C6A">
        <w:rPr>
          <w:rFonts w:cstheme="minorHAnsi"/>
        </w:rPr>
        <w:t xml:space="preserve">be </w:t>
      </w:r>
      <w:r w:rsidRPr="00F259E4">
        <w:rPr>
          <w:rFonts w:cstheme="minorHAnsi"/>
        </w:rPr>
        <w:t>dictated by economic theories, as the impacts on people are more important.</w:t>
      </w:r>
    </w:p>
    <w:p w14:paraId="7C2E3101" w14:textId="77777777" w:rsidR="00F44CC7" w:rsidRPr="00F138E2" w:rsidRDefault="00F44CC7" w:rsidP="00F44CC7">
      <w:pPr>
        <w:pStyle w:val="ListParagraph"/>
        <w:numPr>
          <w:ilvl w:val="0"/>
          <w:numId w:val="16"/>
        </w:numPr>
        <w:ind w:left="538" w:hanging="357"/>
        <w:contextualSpacing w:val="0"/>
        <w:rPr>
          <w:rFonts w:cstheme="minorHAnsi"/>
        </w:rPr>
      </w:pPr>
      <w:r w:rsidRPr="00F138E2">
        <w:rPr>
          <w:rFonts w:cstheme="minorHAnsi"/>
        </w:rPr>
        <w:t xml:space="preserve">For clarity, revamped pricing options are sometimes called service-based or cost-reflective tariffs, and include demand, capacity and time-of-use pricing methods, or various combinations of pricing methods that best suit the network and the consumer. </w:t>
      </w:r>
    </w:p>
    <w:p w14:paraId="5F9D17B4" w14:textId="06F960DC" w:rsidR="006B23AF" w:rsidRPr="00F44CC7" w:rsidRDefault="00742906" w:rsidP="009E312C">
      <w:pPr>
        <w:pStyle w:val="ListParagraph"/>
        <w:numPr>
          <w:ilvl w:val="0"/>
          <w:numId w:val="16"/>
        </w:numPr>
        <w:ind w:left="538" w:hanging="357"/>
        <w:contextualSpacing w:val="0"/>
        <w:rPr>
          <w:rFonts w:cstheme="minorHAnsi"/>
        </w:rPr>
      </w:pPr>
      <w:r w:rsidRPr="00F44CC7">
        <w:rPr>
          <w:rFonts w:cstheme="minorHAnsi"/>
        </w:rPr>
        <w:t>While the sector is committed to new pricing methods, there are issues and challenges to overcome.</w:t>
      </w:r>
      <w:r w:rsidR="00F44CC7" w:rsidRPr="00F44CC7">
        <w:rPr>
          <w:rFonts w:cstheme="minorHAnsi"/>
        </w:rPr>
        <w:t xml:space="preserve"> </w:t>
      </w:r>
      <w:r w:rsidRPr="00F44CC7">
        <w:rPr>
          <w:rFonts w:cstheme="minorHAnsi"/>
        </w:rPr>
        <w:t xml:space="preserve">These include impacts on consumers (and, in particular, those in energy hardship), data transfer, transmission pricing, billing, technical challenges, and the </w:t>
      </w:r>
      <w:r w:rsidR="00A73A92">
        <w:rPr>
          <w:rStyle w:val="ilfuvd"/>
        </w:rPr>
        <w:t xml:space="preserve">Electricity </w:t>
      </w:r>
      <w:r w:rsidR="00A73A92" w:rsidRPr="00A73A92">
        <w:rPr>
          <w:rStyle w:val="ilfuvd"/>
        </w:rPr>
        <w:t>(</w:t>
      </w:r>
      <w:r w:rsidR="00A73A92" w:rsidRPr="00F44CC7">
        <w:rPr>
          <w:rStyle w:val="ilfuvd"/>
          <w:bCs/>
        </w:rPr>
        <w:t>Low Fixed Charge</w:t>
      </w:r>
      <w:r w:rsidR="00A73A92" w:rsidRPr="00A73A92">
        <w:rPr>
          <w:rStyle w:val="ilfuvd"/>
        </w:rPr>
        <w:t xml:space="preserve"> Tariff Option for Domestic Consumers) </w:t>
      </w:r>
      <w:r w:rsidR="00A73A92" w:rsidRPr="00F44CC7">
        <w:rPr>
          <w:rStyle w:val="ilfuvd"/>
          <w:bCs/>
        </w:rPr>
        <w:t>Regulations</w:t>
      </w:r>
      <w:r w:rsidR="00A73A92" w:rsidRPr="00A73A92">
        <w:rPr>
          <w:rStyle w:val="ilfuvd"/>
        </w:rPr>
        <w:t xml:space="preserve"> </w:t>
      </w:r>
      <w:r w:rsidR="00A73A92">
        <w:rPr>
          <w:rStyle w:val="ilfuvd"/>
        </w:rPr>
        <w:t>2004</w:t>
      </w:r>
      <w:r w:rsidRPr="00F44CC7">
        <w:rPr>
          <w:rFonts w:cstheme="minorHAnsi"/>
        </w:rPr>
        <w:t>.</w:t>
      </w:r>
      <w:r w:rsidR="00C53A63" w:rsidRPr="00F44CC7">
        <w:rPr>
          <w:rFonts w:cstheme="minorHAnsi"/>
        </w:rPr>
        <w:t xml:space="preserve"> The rural/urban cross subsidy is another complicating factor. </w:t>
      </w:r>
    </w:p>
    <w:p w14:paraId="5DA88095" w14:textId="7A66C3C6" w:rsidR="008D55E7" w:rsidRPr="006D4EDD" w:rsidRDefault="00742906" w:rsidP="00273087">
      <w:pPr>
        <w:pStyle w:val="ListParagraph"/>
        <w:numPr>
          <w:ilvl w:val="0"/>
          <w:numId w:val="16"/>
        </w:numPr>
        <w:ind w:left="538" w:hanging="357"/>
        <w:contextualSpacing w:val="0"/>
        <w:rPr>
          <w:rFonts w:cstheme="minorHAnsi"/>
        </w:rPr>
      </w:pPr>
      <w:r w:rsidRPr="006D4EDD">
        <w:rPr>
          <w:rFonts w:cstheme="minorHAnsi"/>
        </w:rPr>
        <w:t xml:space="preserve">The biggest change to distribution pricing for 100 years </w:t>
      </w:r>
      <w:r w:rsidR="00BD0EBE">
        <w:rPr>
          <w:rFonts w:cstheme="minorHAnsi"/>
        </w:rPr>
        <w:t xml:space="preserve">needs to be </w:t>
      </w:r>
      <w:r w:rsidR="005F0700">
        <w:rPr>
          <w:rFonts w:cstheme="minorHAnsi"/>
        </w:rPr>
        <w:t>undertaken with a high degree of care and consideration</w:t>
      </w:r>
      <w:r w:rsidRPr="006D4EDD">
        <w:rPr>
          <w:rFonts w:cstheme="minorHAnsi"/>
        </w:rPr>
        <w:t>. Wanting measured progress, members will likely be making decisions about new pricing options after April 2020, with rollout over the following few years.</w:t>
      </w:r>
      <w:r w:rsidR="006D4EDD" w:rsidRPr="006D4EDD">
        <w:rPr>
          <w:rFonts w:cstheme="minorHAnsi"/>
        </w:rPr>
        <w:t xml:space="preserve"> </w:t>
      </w:r>
    </w:p>
    <w:p w14:paraId="50A8BDDE" w14:textId="1E23C011" w:rsidR="0089124A" w:rsidRPr="00F138E2" w:rsidRDefault="00650ACB" w:rsidP="00273087">
      <w:pPr>
        <w:pStyle w:val="ListParagraph"/>
        <w:numPr>
          <w:ilvl w:val="0"/>
          <w:numId w:val="16"/>
        </w:numPr>
        <w:ind w:left="538" w:hanging="357"/>
        <w:contextualSpacing w:val="0"/>
        <w:rPr>
          <w:rFonts w:cstheme="minorHAnsi"/>
        </w:rPr>
      </w:pPr>
      <w:r w:rsidRPr="00F138E2">
        <w:rPr>
          <w:rFonts w:cstheme="minorHAnsi"/>
        </w:rPr>
        <w:t xml:space="preserve">Introduction of new pricing options </w:t>
      </w:r>
      <w:r w:rsidRPr="00F138E2">
        <w:rPr>
          <w:rFonts w:cstheme="minorHAnsi"/>
          <w:u w:val="single"/>
        </w:rPr>
        <w:t>does not mean</w:t>
      </w:r>
      <w:r w:rsidRPr="00F138E2">
        <w:rPr>
          <w:rFonts w:cstheme="minorHAnsi"/>
        </w:rPr>
        <w:t xml:space="preserve"> that all customers will be switched to the new pricing methods on 1 April</w:t>
      </w:r>
      <w:r w:rsidR="00E133CE">
        <w:rPr>
          <w:rFonts w:cstheme="minorHAnsi"/>
        </w:rPr>
        <w:t>,</w:t>
      </w:r>
      <w:r w:rsidRPr="00F138E2">
        <w:rPr>
          <w:rFonts w:cstheme="minorHAnsi"/>
        </w:rPr>
        <w:t xml:space="preserve"> 2020.  </w:t>
      </w:r>
      <w:r w:rsidR="005B2961">
        <w:rPr>
          <w:rFonts w:cstheme="minorHAnsi"/>
        </w:rPr>
        <w:t xml:space="preserve">Many </w:t>
      </w:r>
      <w:r w:rsidR="00F138E2" w:rsidRPr="00F138E2">
        <w:rPr>
          <w:rFonts w:cstheme="minorHAnsi"/>
        </w:rPr>
        <w:t xml:space="preserve">ENA members will be phasing the introduction to all customers from that date. </w:t>
      </w:r>
    </w:p>
    <w:p w14:paraId="164E9A7C" w14:textId="77777777" w:rsidR="00742906" w:rsidRPr="00F259E4" w:rsidRDefault="00742906" w:rsidP="00742906">
      <w:pPr>
        <w:pStyle w:val="ListParagraph"/>
        <w:ind w:left="540"/>
        <w:rPr>
          <w:rFonts w:cstheme="minorHAnsi"/>
          <w:b/>
        </w:rPr>
      </w:pPr>
    </w:p>
    <w:p w14:paraId="3FD3E813" w14:textId="40143E2B" w:rsidR="007578CC" w:rsidRPr="00293B6B" w:rsidRDefault="00742906" w:rsidP="00293B6B">
      <w:pPr>
        <w:pStyle w:val="Heading2"/>
      </w:pPr>
      <w:r w:rsidRPr="00F259E4">
        <w:lastRenderedPageBreak/>
        <w:t>Recommendation</w:t>
      </w:r>
      <w:r w:rsidR="005F43D3">
        <w:t xml:space="preserve"> 4.</w:t>
      </w:r>
      <w:r w:rsidR="00665BAC">
        <w:t>6</w:t>
      </w:r>
      <w:r w:rsidRPr="00F259E4">
        <w:t>:</w:t>
      </w:r>
      <w:bookmarkStart w:id="2" w:name="_Hlk527725914"/>
      <w:r w:rsidR="00293B6B">
        <w:t xml:space="preserve"> </w:t>
      </w:r>
      <w:r w:rsidR="007578CC" w:rsidRPr="007578CC">
        <w:t xml:space="preserve">That the Panel recommends that EDBs commit to introducing </w:t>
      </w:r>
      <w:r w:rsidR="004071B6">
        <w:t>modified d</w:t>
      </w:r>
      <w:r w:rsidR="007578CC" w:rsidRPr="007578CC">
        <w:t xml:space="preserve">istribution pricing options </w:t>
      </w:r>
      <w:r w:rsidR="00204E97">
        <w:t>as soon as practicable</w:t>
      </w:r>
      <w:r w:rsidR="007578CC" w:rsidRPr="007578CC">
        <w:t>. This will be dependent on:</w:t>
      </w:r>
      <w:bookmarkEnd w:id="2"/>
    </w:p>
    <w:p w14:paraId="3F7AEFF4" w14:textId="17D6D8AD" w:rsidR="007578CC" w:rsidRPr="00473435" w:rsidRDefault="007578CC" w:rsidP="00273087">
      <w:pPr>
        <w:pStyle w:val="ListParagraph"/>
        <w:numPr>
          <w:ilvl w:val="0"/>
          <w:numId w:val="61"/>
        </w:numPr>
        <w:spacing w:after="0" w:line="240" w:lineRule="auto"/>
        <w:ind w:left="851" w:hanging="425"/>
        <w:rPr>
          <w:rFonts w:ascii="Calibri" w:eastAsiaTheme="majorEastAsia" w:hAnsi="Calibri" w:cstheme="majorBidi"/>
          <w:b/>
          <w:bCs/>
          <w:color w:val="00A3DB"/>
          <w:sz w:val="26"/>
          <w:szCs w:val="26"/>
        </w:rPr>
      </w:pPr>
      <w:r w:rsidRPr="00473435">
        <w:rPr>
          <w:rFonts w:ascii="Calibri" w:eastAsiaTheme="majorEastAsia" w:hAnsi="Calibri" w:cstheme="majorBidi"/>
          <w:b/>
          <w:bCs/>
          <w:color w:val="00A3DB"/>
          <w:sz w:val="26"/>
          <w:szCs w:val="26"/>
        </w:rPr>
        <w:t xml:space="preserve">The government having revoked the Electricity (Low Fixed Charge Tariff </w:t>
      </w:r>
      <w:r w:rsidR="004C4A8A">
        <w:rPr>
          <w:rFonts w:ascii="Calibri" w:eastAsiaTheme="majorEastAsia" w:hAnsi="Calibri" w:cstheme="majorBidi"/>
          <w:b/>
          <w:bCs/>
          <w:color w:val="00A3DB"/>
          <w:sz w:val="26"/>
          <w:szCs w:val="26"/>
        </w:rPr>
        <w:t>O</w:t>
      </w:r>
      <w:r w:rsidRPr="00473435">
        <w:rPr>
          <w:rFonts w:ascii="Calibri" w:eastAsiaTheme="majorEastAsia" w:hAnsi="Calibri" w:cstheme="majorBidi"/>
          <w:b/>
          <w:bCs/>
          <w:color w:val="00A3DB"/>
          <w:sz w:val="26"/>
          <w:szCs w:val="26"/>
        </w:rPr>
        <w:t>ption for Domestic Consumers) Regulations 2004 (refer recommendation 5.3);</w:t>
      </w:r>
    </w:p>
    <w:p w14:paraId="19114CF9" w14:textId="23D61EA3" w:rsidR="00F91809" w:rsidRPr="00473435" w:rsidRDefault="007578CC" w:rsidP="00273087">
      <w:pPr>
        <w:pStyle w:val="ListParagraph"/>
        <w:numPr>
          <w:ilvl w:val="0"/>
          <w:numId w:val="61"/>
        </w:numPr>
        <w:spacing w:after="0" w:line="240" w:lineRule="auto"/>
        <w:ind w:left="851" w:hanging="425"/>
        <w:rPr>
          <w:rFonts w:ascii="Calibri" w:eastAsiaTheme="majorEastAsia" w:hAnsi="Calibri" w:cstheme="majorBidi"/>
          <w:b/>
          <w:bCs/>
          <w:color w:val="00A3DB"/>
          <w:sz w:val="26"/>
          <w:szCs w:val="26"/>
        </w:rPr>
      </w:pPr>
      <w:r w:rsidRPr="00473435">
        <w:rPr>
          <w:rFonts w:ascii="Calibri" w:eastAsiaTheme="majorEastAsia" w:hAnsi="Calibri" w:cstheme="majorBidi"/>
          <w:b/>
          <w:bCs/>
          <w:color w:val="00A3DB"/>
          <w:sz w:val="26"/>
          <w:szCs w:val="26"/>
        </w:rPr>
        <w:t>That the metering equipment (i.e. smart meters) necessary to support these new tariffs is installed</w:t>
      </w:r>
      <w:r w:rsidR="006853D7" w:rsidRPr="00473435">
        <w:rPr>
          <w:rFonts w:ascii="Calibri" w:eastAsiaTheme="majorEastAsia" w:hAnsi="Calibri" w:cstheme="majorBidi"/>
          <w:b/>
          <w:bCs/>
          <w:color w:val="00A3DB"/>
          <w:sz w:val="26"/>
          <w:szCs w:val="26"/>
        </w:rPr>
        <w:t>,</w:t>
      </w:r>
      <w:r w:rsidRPr="00473435">
        <w:rPr>
          <w:rFonts w:ascii="Calibri" w:eastAsiaTheme="majorEastAsia" w:hAnsi="Calibri" w:cstheme="majorBidi"/>
          <w:b/>
          <w:bCs/>
          <w:color w:val="00A3DB"/>
          <w:sz w:val="26"/>
          <w:szCs w:val="26"/>
        </w:rPr>
        <w:t xml:space="preserve"> and </w:t>
      </w:r>
      <w:r w:rsidR="006853D7" w:rsidRPr="00473435">
        <w:rPr>
          <w:rFonts w:ascii="Calibri" w:eastAsiaTheme="majorEastAsia" w:hAnsi="Calibri" w:cstheme="majorBidi"/>
          <w:b/>
          <w:bCs/>
          <w:color w:val="00A3DB"/>
          <w:sz w:val="26"/>
          <w:szCs w:val="26"/>
        </w:rPr>
        <w:t xml:space="preserve">associated consumption data is </w:t>
      </w:r>
      <w:r w:rsidR="00DC2FB4" w:rsidRPr="00473435">
        <w:rPr>
          <w:rFonts w:ascii="Calibri" w:eastAsiaTheme="majorEastAsia" w:hAnsi="Calibri" w:cstheme="majorBidi"/>
          <w:b/>
          <w:bCs/>
          <w:color w:val="00A3DB"/>
          <w:sz w:val="26"/>
          <w:szCs w:val="26"/>
        </w:rPr>
        <w:t>available;</w:t>
      </w:r>
    </w:p>
    <w:p w14:paraId="107CAE69" w14:textId="66A231F6" w:rsidR="005F43D3" w:rsidRPr="00473435" w:rsidRDefault="00381417" w:rsidP="00273087">
      <w:pPr>
        <w:pStyle w:val="ListParagraph"/>
        <w:numPr>
          <w:ilvl w:val="0"/>
          <w:numId w:val="61"/>
        </w:numPr>
        <w:spacing w:after="0" w:line="240" w:lineRule="auto"/>
        <w:ind w:left="851" w:hanging="425"/>
        <w:rPr>
          <w:rFonts w:ascii="Calibri" w:eastAsiaTheme="majorEastAsia" w:hAnsi="Calibri" w:cstheme="majorBidi"/>
          <w:b/>
          <w:bCs/>
          <w:color w:val="00A3DB"/>
          <w:sz w:val="26"/>
          <w:szCs w:val="26"/>
        </w:rPr>
      </w:pPr>
      <w:r w:rsidRPr="00473435">
        <w:rPr>
          <w:rFonts w:ascii="Calibri" w:eastAsiaTheme="majorEastAsia" w:hAnsi="Calibri" w:cstheme="majorBidi"/>
          <w:b/>
          <w:bCs/>
          <w:color w:val="00A3DB"/>
          <w:sz w:val="26"/>
          <w:szCs w:val="26"/>
        </w:rPr>
        <w:t xml:space="preserve">Effective customer </w:t>
      </w:r>
      <w:r w:rsidR="004D41E5" w:rsidRPr="00473435">
        <w:rPr>
          <w:rFonts w:ascii="Calibri" w:eastAsiaTheme="majorEastAsia" w:hAnsi="Calibri" w:cstheme="majorBidi"/>
          <w:b/>
          <w:bCs/>
          <w:color w:val="00A3DB"/>
          <w:sz w:val="26"/>
          <w:szCs w:val="26"/>
        </w:rPr>
        <w:t>engag</w:t>
      </w:r>
      <w:r w:rsidRPr="00473435">
        <w:rPr>
          <w:rFonts w:ascii="Calibri" w:eastAsiaTheme="majorEastAsia" w:hAnsi="Calibri" w:cstheme="majorBidi"/>
          <w:b/>
          <w:bCs/>
          <w:color w:val="00A3DB"/>
          <w:sz w:val="26"/>
          <w:szCs w:val="26"/>
        </w:rPr>
        <w:t>ement, and retailers supportively passing new distribution charges to their customers.</w:t>
      </w:r>
      <w:r w:rsidR="007578CC" w:rsidRPr="00473435">
        <w:rPr>
          <w:rFonts w:ascii="Calibri" w:eastAsiaTheme="majorEastAsia" w:hAnsi="Calibri" w:cstheme="majorBidi"/>
          <w:b/>
          <w:bCs/>
          <w:color w:val="00A3DB"/>
          <w:sz w:val="26"/>
          <w:szCs w:val="26"/>
        </w:rPr>
        <w:t xml:space="preserve"> </w:t>
      </w:r>
    </w:p>
    <w:p w14:paraId="6A542F51" w14:textId="70A97561" w:rsidR="007578CC" w:rsidRPr="005F43D3" w:rsidRDefault="007578CC" w:rsidP="005F43D3">
      <w:pPr>
        <w:spacing w:after="0" w:line="240" w:lineRule="auto"/>
        <w:ind w:left="1080"/>
        <w:jc w:val="both"/>
        <w:rPr>
          <w:rFonts w:cstheme="minorHAnsi"/>
          <w:b/>
        </w:rPr>
      </w:pPr>
    </w:p>
    <w:p w14:paraId="7471B8B2" w14:textId="3008F7A3" w:rsidR="00742906" w:rsidRPr="004B46B2" w:rsidRDefault="00742906" w:rsidP="00427AC2">
      <w:pPr>
        <w:pStyle w:val="Heading4"/>
        <w:rPr>
          <w:bCs/>
          <w:i w:val="0"/>
          <w:color w:val="000000" w:themeColor="text1"/>
          <w:lang w:eastAsia="en-NZ"/>
        </w:rPr>
      </w:pPr>
      <w:r w:rsidRPr="004B46B2">
        <w:rPr>
          <w:i w:val="0"/>
          <w:color w:val="000000" w:themeColor="text1"/>
          <w:lang w:eastAsia="en-NZ"/>
        </w:rPr>
        <w:t>Business Size</w:t>
      </w:r>
    </w:p>
    <w:p w14:paraId="49C7694B" w14:textId="77777777" w:rsidR="00742906" w:rsidRPr="00F259E4" w:rsidRDefault="00742906" w:rsidP="00273087">
      <w:pPr>
        <w:pStyle w:val="ListParagraph"/>
        <w:numPr>
          <w:ilvl w:val="0"/>
          <w:numId w:val="17"/>
        </w:numPr>
        <w:ind w:left="850" w:hanging="425"/>
        <w:contextualSpacing w:val="0"/>
        <w:rPr>
          <w:rFonts w:cstheme="minorHAnsi"/>
          <w:b/>
          <w:bCs/>
        </w:rPr>
      </w:pPr>
      <w:r w:rsidRPr="00F259E4">
        <w:rPr>
          <w:rFonts w:cstheme="minorHAnsi"/>
        </w:rPr>
        <w:t>ENA does not have a view on the ‘right’ number of EDBs.</w:t>
      </w:r>
    </w:p>
    <w:p w14:paraId="021F39FE" w14:textId="77777777"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Any voluntary decision to reduce the number of EDBs would be made by the network owners, which are mainly trusts and councils.</w:t>
      </w:r>
    </w:p>
    <w:p w14:paraId="03006D4A" w14:textId="77777777"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 xml:space="preserve">Averaged nationally, New Zealand has one EDB per 174,000 people. </w:t>
      </w:r>
    </w:p>
    <w:p w14:paraId="426D6336" w14:textId="1A9AFB78"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Germany, with a population of 82 million, has 800 EDBs</w:t>
      </w:r>
      <w:r w:rsidR="00C7681E">
        <w:rPr>
          <w:rFonts w:cstheme="minorHAnsi"/>
        </w:rPr>
        <w:t>,</w:t>
      </w:r>
      <w:r w:rsidRPr="00F259E4">
        <w:rPr>
          <w:rFonts w:cstheme="minorHAnsi"/>
        </w:rPr>
        <w:t xml:space="preserve"> or one per 102,000 people</w:t>
      </w:r>
      <w:r w:rsidR="009A2A20">
        <w:rPr>
          <w:rStyle w:val="FootnoteReference"/>
          <w:rFonts w:cstheme="minorHAnsi"/>
        </w:rPr>
        <w:footnoteReference w:id="50"/>
      </w:r>
    </w:p>
    <w:p w14:paraId="7983E959" w14:textId="28A9365A"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 xml:space="preserve">Norway, with a population of </w:t>
      </w:r>
      <w:r w:rsidR="00CB184B">
        <w:rPr>
          <w:rFonts w:cstheme="minorHAnsi"/>
        </w:rPr>
        <w:t>five</w:t>
      </w:r>
      <w:r w:rsidRPr="00F259E4">
        <w:rPr>
          <w:rFonts w:cstheme="minorHAnsi"/>
        </w:rPr>
        <w:t xml:space="preserve"> million, has 148 distribution companies</w:t>
      </w:r>
      <w:r w:rsidR="00C7681E">
        <w:rPr>
          <w:rFonts w:cstheme="minorHAnsi"/>
        </w:rPr>
        <w:t>,</w:t>
      </w:r>
      <w:r w:rsidRPr="00F259E4">
        <w:rPr>
          <w:rFonts w:cstheme="minorHAnsi"/>
        </w:rPr>
        <w:t xml:space="preserve"> or one per 34,000 people.</w:t>
      </w:r>
    </w:p>
    <w:p w14:paraId="549BF29E" w14:textId="6430EF72"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Finland, with 5 million people, has 89 EDBs</w:t>
      </w:r>
      <w:r w:rsidR="00C7681E">
        <w:rPr>
          <w:rFonts w:cstheme="minorHAnsi"/>
        </w:rPr>
        <w:t>,</w:t>
      </w:r>
      <w:r w:rsidRPr="00F259E4">
        <w:rPr>
          <w:rFonts w:cstheme="minorHAnsi"/>
        </w:rPr>
        <w:t xml:space="preserve"> or one per 56,000 people.</w:t>
      </w:r>
    </w:p>
    <w:p w14:paraId="7DB777D4" w14:textId="629F5E7B"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On the other hand, Australia, with 24 million people, has 15 EDBs</w:t>
      </w:r>
      <w:r w:rsidR="00C7681E">
        <w:rPr>
          <w:rFonts w:cstheme="minorHAnsi"/>
        </w:rPr>
        <w:t>,</w:t>
      </w:r>
      <w:r w:rsidRPr="00F259E4">
        <w:rPr>
          <w:rFonts w:cstheme="minorHAnsi"/>
        </w:rPr>
        <w:t xml:space="preserve"> or one per 1.6 million people.</w:t>
      </w:r>
    </w:p>
    <w:p w14:paraId="027CF775" w14:textId="0EAB7475" w:rsidR="00742906" w:rsidRPr="00F259E4" w:rsidRDefault="00742906" w:rsidP="00273087">
      <w:pPr>
        <w:pStyle w:val="ListParagraph"/>
        <w:numPr>
          <w:ilvl w:val="0"/>
          <w:numId w:val="17"/>
        </w:numPr>
        <w:ind w:left="850" w:hanging="425"/>
        <w:contextualSpacing w:val="0"/>
        <w:rPr>
          <w:rFonts w:cstheme="minorHAnsi"/>
        </w:rPr>
      </w:pPr>
      <w:r w:rsidRPr="00F259E4">
        <w:rPr>
          <w:rFonts w:cstheme="minorHAnsi"/>
        </w:rPr>
        <w:t>The UK, with a population of 65 million, has seven EDBs (14 networks)</w:t>
      </w:r>
      <w:r w:rsidR="00C7681E">
        <w:rPr>
          <w:rFonts w:cstheme="minorHAnsi"/>
        </w:rPr>
        <w:t>,</w:t>
      </w:r>
      <w:r w:rsidRPr="00F259E4">
        <w:rPr>
          <w:rFonts w:cstheme="minorHAnsi"/>
        </w:rPr>
        <w:t xml:space="preserve"> or one per 6 million.</w:t>
      </w:r>
    </w:p>
    <w:p w14:paraId="0F2DE54D" w14:textId="73AB5366" w:rsidR="00742906" w:rsidRPr="00F259E4" w:rsidRDefault="00742906" w:rsidP="00273087">
      <w:pPr>
        <w:pStyle w:val="ListParagraph"/>
        <w:numPr>
          <w:ilvl w:val="0"/>
          <w:numId w:val="17"/>
        </w:numPr>
        <w:autoSpaceDE w:val="0"/>
        <w:autoSpaceDN w:val="0"/>
        <w:adjustRightInd w:val="0"/>
        <w:ind w:left="850" w:hanging="425"/>
        <w:contextualSpacing w:val="0"/>
        <w:rPr>
          <w:rFonts w:cstheme="minorHAnsi"/>
        </w:rPr>
      </w:pPr>
      <w:r w:rsidRPr="00F259E4">
        <w:rPr>
          <w:rFonts w:cstheme="minorHAnsi"/>
        </w:rPr>
        <w:t>The 2017 IEA report into N</w:t>
      </w:r>
      <w:r w:rsidR="00C7681E">
        <w:rPr>
          <w:rFonts w:cstheme="minorHAnsi"/>
        </w:rPr>
        <w:t xml:space="preserve">ew Zealand’s </w:t>
      </w:r>
      <w:r w:rsidRPr="00F259E4">
        <w:rPr>
          <w:rFonts w:cstheme="minorHAnsi"/>
        </w:rPr>
        <w:t xml:space="preserve">electricity sector recommended amalgamations among smaller EDBs, in the name of more effective management.  </w:t>
      </w:r>
    </w:p>
    <w:p w14:paraId="6EC26B60" w14:textId="0D1A2384" w:rsidR="00742906" w:rsidRPr="00F259E4" w:rsidRDefault="00742906" w:rsidP="00273087">
      <w:pPr>
        <w:pStyle w:val="ListParagraph"/>
        <w:numPr>
          <w:ilvl w:val="0"/>
          <w:numId w:val="17"/>
        </w:numPr>
        <w:tabs>
          <w:tab w:val="left" w:pos="2280"/>
        </w:tabs>
        <w:ind w:left="850" w:hanging="425"/>
        <w:contextualSpacing w:val="0"/>
        <w:rPr>
          <w:rFonts w:cstheme="minorHAnsi"/>
          <w:b/>
          <w:bCs/>
        </w:rPr>
      </w:pPr>
      <w:r w:rsidRPr="00F259E4">
        <w:rPr>
          <w:rFonts w:cstheme="minorHAnsi"/>
        </w:rPr>
        <w:t>However, the report also stated that “no official empirical analysis has been undertaken on economies of scale in New Zealand’s distribution businesses, and there is little evidence that small firms are less innovative or perform less well than large ones”.</w:t>
      </w:r>
      <w:r w:rsidR="005D2336">
        <w:rPr>
          <w:rStyle w:val="FootnoteReference"/>
          <w:rFonts w:cstheme="minorHAnsi"/>
        </w:rPr>
        <w:footnoteReference w:id="51"/>
      </w:r>
    </w:p>
    <w:p w14:paraId="339E3FC1" w14:textId="205F2CB0" w:rsidR="00742906" w:rsidRPr="00F259E4" w:rsidRDefault="00742906" w:rsidP="00273087">
      <w:pPr>
        <w:pStyle w:val="ListParagraph"/>
        <w:numPr>
          <w:ilvl w:val="0"/>
          <w:numId w:val="17"/>
        </w:numPr>
        <w:tabs>
          <w:tab w:val="left" w:pos="2280"/>
        </w:tabs>
        <w:ind w:left="850" w:hanging="425"/>
        <w:contextualSpacing w:val="0"/>
        <w:rPr>
          <w:rFonts w:cstheme="minorHAnsi"/>
        </w:rPr>
      </w:pPr>
      <w:r w:rsidRPr="00F259E4">
        <w:rPr>
          <w:rFonts w:cstheme="minorHAnsi"/>
        </w:rPr>
        <w:t>Countering the IEA’s recommendation, George Yarrow of the Regulatory Policy Institute, Oxford, UK, notes however there is extensive evidence from many studies of pre- and post-amalgamation performance of businesses that post-amalgamation performance is very frequently disappointing relative to prior expectations, and quite frequently is worse.</w:t>
      </w:r>
      <w:r w:rsidR="00F826BF">
        <w:rPr>
          <w:rStyle w:val="FootnoteReference"/>
          <w:rFonts w:cstheme="minorHAnsi"/>
        </w:rPr>
        <w:footnoteReference w:id="52"/>
      </w:r>
    </w:p>
    <w:p w14:paraId="5900AEF2" w14:textId="77777777" w:rsidR="00742906" w:rsidRPr="00F259E4" w:rsidRDefault="00742906" w:rsidP="00273087">
      <w:pPr>
        <w:pStyle w:val="ListParagraph"/>
        <w:numPr>
          <w:ilvl w:val="0"/>
          <w:numId w:val="4"/>
        </w:numPr>
        <w:spacing w:line="259" w:lineRule="auto"/>
        <w:ind w:left="1276" w:hanging="425"/>
        <w:contextualSpacing w:val="0"/>
        <w:rPr>
          <w:rFonts w:cstheme="minorHAnsi"/>
        </w:rPr>
      </w:pPr>
      <w:r w:rsidRPr="00F259E4">
        <w:rPr>
          <w:rFonts w:cstheme="minorHAnsi"/>
        </w:rPr>
        <w:t xml:space="preserve">The most directly relevant evidence is provided in research undertaken by Professor Michael Pollitt focused on mergers between electricity distribution companies.  </w:t>
      </w:r>
    </w:p>
    <w:p w14:paraId="0A445FF8" w14:textId="2FC7687E" w:rsidR="00742906" w:rsidRPr="00F259E4" w:rsidRDefault="00742906" w:rsidP="00273087">
      <w:pPr>
        <w:pStyle w:val="ListParagraph"/>
        <w:numPr>
          <w:ilvl w:val="0"/>
          <w:numId w:val="5"/>
        </w:numPr>
        <w:spacing w:line="259" w:lineRule="auto"/>
        <w:ind w:left="1701" w:hanging="425"/>
        <w:contextualSpacing w:val="0"/>
        <w:rPr>
          <w:rFonts w:cstheme="minorHAnsi"/>
        </w:rPr>
      </w:pPr>
      <w:r w:rsidRPr="00F259E4">
        <w:rPr>
          <w:rFonts w:cstheme="minorHAnsi"/>
        </w:rPr>
        <w:lastRenderedPageBreak/>
        <w:t>In his paper co-authored with John Kwoka (2014)</w:t>
      </w:r>
      <w:r w:rsidRPr="00F259E4">
        <w:rPr>
          <w:rFonts w:cstheme="minorHAnsi"/>
          <w:vertAlign w:val="superscript"/>
        </w:rPr>
        <w:t xml:space="preserve"> </w:t>
      </w:r>
      <w:r w:rsidRPr="00F259E4">
        <w:rPr>
          <w:rFonts w:cstheme="minorHAnsi"/>
        </w:rPr>
        <w:t>the authors analysed the performance impact of the merger wave which took place in the US electricity industry during the period 1994-2003.</w:t>
      </w:r>
      <w:r w:rsidR="00AE2CFD">
        <w:rPr>
          <w:rStyle w:val="FootnoteReference"/>
          <w:rFonts w:cstheme="minorHAnsi"/>
        </w:rPr>
        <w:footnoteReference w:id="53"/>
      </w:r>
    </w:p>
    <w:p w14:paraId="7C226FB4" w14:textId="77777777" w:rsidR="00742906" w:rsidRPr="00F259E4" w:rsidRDefault="00742906" w:rsidP="00273087">
      <w:pPr>
        <w:pStyle w:val="ListParagraph"/>
        <w:numPr>
          <w:ilvl w:val="0"/>
          <w:numId w:val="5"/>
        </w:numPr>
        <w:spacing w:line="259" w:lineRule="auto"/>
        <w:ind w:left="1701" w:hanging="425"/>
        <w:contextualSpacing w:val="0"/>
        <w:rPr>
          <w:rFonts w:cstheme="minorHAnsi"/>
        </w:rPr>
      </w:pPr>
      <w:r w:rsidRPr="00F259E4">
        <w:rPr>
          <w:rFonts w:cstheme="minorHAnsi"/>
        </w:rPr>
        <w:t>The results indicated that electricity mergers were not consistent with improved cost performance.</w:t>
      </w:r>
    </w:p>
    <w:p w14:paraId="189BB76C" w14:textId="655E8B2E" w:rsidR="00742906" w:rsidRPr="00F259E4" w:rsidRDefault="00742906" w:rsidP="00273087">
      <w:pPr>
        <w:pStyle w:val="ListParagraph"/>
        <w:numPr>
          <w:ilvl w:val="0"/>
          <w:numId w:val="4"/>
        </w:numPr>
        <w:spacing w:line="259" w:lineRule="auto"/>
        <w:ind w:left="1276" w:hanging="425"/>
        <w:contextualSpacing w:val="0"/>
        <w:rPr>
          <w:rFonts w:cstheme="minorHAnsi"/>
        </w:rPr>
      </w:pPr>
      <w:r w:rsidRPr="00F259E4">
        <w:rPr>
          <w:rFonts w:cstheme="minorHAnsi"/>
        </w:rPr>
        <w:t xml:space="preserve">In a study by </w:t>
      </w:r>
      <w:r w:rsidRPr="00F259E4">
        <w:rPr>
          <w:rFonts w:cstheme="minorHAnsi"/>
          <w:shd w:val="clear" w:color="auto" w:fill="FFFFFF"/>
        </w:rPr>
        <w:t>Adonis</w:t>
      </w:r>
      <w:r w:rsidRPr="00F259E4">
        <w:rPr>
          <w:rFonts w:cstheme="minorHAnsi"/>
        </w:rPr>
        <w:t xml:space="preserve"> Yatchew</w:t>
      </w:r>
      <w:r w:rsidR="00854222">
        <w:rPr>
          <w:rStyle w:val="FootnoteReference"/>
          <w:rFonts w:cstheme="minorHAnsi"/>
        </w:rPr>
        <w:footnoteReference w:id="54"/>
      </w:r>
      <w:r w:rsidRPr="00F259E4">
        <w:rPr>
          <w:rFonts w:cstheme="minorHAnsi"/>
        </w:rPr>
        <w:t xml:space="preserve">, the performance of 81 municipal distributors in Ontario, Canada, over the three years </w:t>
      </w:r>
      <w:r w:rsidR="00732637">
        <w:rPr>
          <w:rFonts w:cstheme="minorHAnsi"/>
        </w:rPr>
        <w:t>f</w:t>
      </w:r>
      <w:r w:rsidR="00B72D33">
        <w:rPr>
          <w:rFonts w:cstheme="minorHAnsi"/>
        </w:rPr>
        <w:t>rom 1993</w:t>
      </w:r>
      <w:r w:rsidR="0040453E">
        <w:rPr>
          <w:rFonts w:cstheme="minorHAnsi"/>
        </w:rPr>
        <w:t xml:space="preserve"> to 19</w:t>
      </w:r>
      <w:r w:rsidR="00B72D33">
        <w:rPr>
          <w:rFonts w:cstheme="minorHAnsi"/>
        </w:rPr>
        <w:t>95</w:t>
      </w:r>
      <w:r w:rsidRPr="00F259E4">
        <w:rPr>
          <w:rFonts w:cstheme="minorHAnsi"/>
        </w:rPr>
        <w:t xml:space="preserve"> was analysed. The distributors ranged in size from around 600 to 220,000 customers.  </w:t>
      </w:r>
    </w:p>
    <w:p w14:paraId="28D8776A" w14:textId="77777777" w:rsidR="00742906" w:rsidRPr="00F259E4" w:rsidRDefault="00742906" w:rsidP="00273087">
      <w:pPr>
        <w:pStyle w:val="ListParagraph"/>
        <w:numPr>
          <w:ilvl w:val="0"/>
          <w:numId w:val="6"/>
        </w:numPr>
        <w:tabs>
          <w:tab w:val="left" w:pos="2280"/>
        </w:tabs>
        <w:spacing w:line="259" w:lineRule="auto"/>
        <w:ind w:left="1701" w:hanging="425"/>
        <w:contextualSpacing w:val="0"/>
        <w:rPr>
          <w:rFonts w:cstheme="minorHAnsi"/>
        </w:rPr>
      </w:pPr>
      <w:r w:rsidRPr="00F259E4">
        <w:rPr>
          <w:rFonts w:cstheme="minorHAnsi"/>
        </w:rPr>
        <w:t xml:space="preserve">Yatchew, in summarising a number of similar studies that included New Zealand, Norway and Switzerland as well as Ontario, notes that “minimum efficient scale occurs at surprisingly small scales of operation [&gt;4,000 connections].” </w:t>
      </w:r>
    </w:p>
    <w:p w14:paraId="1369D46F" w14:textId="0EAC4EA0" w:rsidR="00742906" w:rsidRPr="00F259E4" w:rsidRDefault="00742906" w:rsidP="00273087">
      <w:pPr>
        <w:pStyle w:val="ListParagraph"/>
        <w:numPr>
          <w:ilvl w:val="0"/>
          <w:numId w:val="6"/>
        </w:numPr>
        <w:spacing w:line="259" w:lineRule="auto"/>
        <w:ind w:left="1701" w:hanging="425"/>
        <w:contextualSpacing w:val="0"/>
        <w:rPr>
          <w:rFonts w:cstheme="minorHAnsi"/>
        </w:rPr>
      </w:pPr>
      <w:r w:rsidRPr="00F259E4">
        <w:rPr>
          <w:rFonts w:cstheme="minorHAnsi"/>
        </w:rPr>
        <w:t>The studies have found “no convincing evidence of significant economies of scale in electricity distribution, other than at very small scale” (Yarrow, 2018)</w:t>
      </w:r>
      <w:r w:rsidR="00265109">
        <w:rPr>
          <w:rFonts w:cstheme="minorHAnsi"/>
        </w:rPr>
        <w:t>.</w:t>
      </w:r>
    </w:p>
    <w:p w14:paraId="5E075F45" w14:textId="269256C9" w:rsidR="00742906" w:rsidRPr="00F259E4" w:rsidRDefault="00742906" w:rsidP="00273087">
      <w:pPr>
        <w:pStyle w:val="ListParagraph"/>
        <w:numPr>
          <w:ilvl w:val="0"/>
          <w:numId w:val="6"/>
        </w:numPr>
        <w:ind w:left="1701" w:hanging="425"/>
        <w:contextualSpacing w:val="0"/>
        <w:rPr>
          <w:rFonts w:cstheme="minorHAnsi"/>
        </w:rPr>
      </w:pPr>
      <w:r w:rsidRPr="00F259E4">
        <w:rPr>
          <w:rFonts w:cstheme="minorHAnsi"/>
        </w:rPr>
        <w:t xml:space="preserve">A report undertaken by </w:t>
      </w:r>
      <w:r w:rsidR="0063406F">
        <w:rPr>
          <w:rFonts w:cstheme="minorHAnsi"/>
        </w:rPr>
        <w:t>TDB</w:t>
      </w:r>
      <w:r w:rsidRPr="00F259E4">
        <w:rPr>
          <w:rFonts w:cstheme="minorHAnsi"/>
        </w:rPr>
        <w:t xml:space="preserve"> Advisory in the New Zealand context supports that conclusion. Density (in terms of consumer connections per kilometre of network) is a greater indicator of efficiency than scale.</w:t>
      </w:r>
    </w:p>
    <w:p w14:paraId="5BDEB5B4" w14:textId="0F06CEA3" w:rsidR="00742906" w:rsidRPr="00F259E4" w:rsidRDefault="00742906" w:rsidP="00273087">
      <w:pPr>
        <w:pStyle w:val="ListParagraph"/>
        <w:numPr>
          <w:ilvl w:val="0"/>
          <w:numId w:val="6"/>
        </w:numPr>
        <w:ind w:left="1701" w:hanging="425"/>
        <w:contextualSpacing w:val="0"/>
        <w:rPr>
          <w:rFonts w:cstheme="minorHAnsi"/>
        </w:rPr>
      </w:pPr>
      <w:r w:rsidRPr="00F259E4">
        <w:rPr>
          <w:rFonts w:cstheme="minorHAnsi"/>
        </w:rPr>
        <w:t>In summary, ENA does not have a view on what number is the ‘right’ number of EDBs. Greater size does not necessarily translate into greater efficiency – but similarly there can be economies of scale achieve</w:t>
      </w:r>
      <w:r w:rsidR="00B72D33">
        <w:rPr>
          <w:rFonts w:cstheme="minorHAnsi"/>
        </w:rPr>
        <w:t>d</w:t>
      </w:r>
      <w:r w:rsidRPr="00F259E4">
        <w:rPr>
          <w:rFonts w:cstheme="minorHAnsi"/>
        </w:rPr>
        <w:t xml:space="preserve"> from rationalisation of ownerships.</w:t>
      </w:r>
    </w:p>
    <w:p w14:paraId="09ED99DA" w14:textId="24D41EF4" w:rsidR="00742906" w:rsidRPr="00F259E4" w:rsidRDefault="00742906" w:rsidP="00273087">
      <w:pPr>
        <w:pStyle w:val="ListParagraph"/>
        <w:numPr>
          <w:ilvl w:val="0"/>
          <w:numId w:val="6"/>
        </w:numPr>
        <w:ind w:left="1701" w:hanging="425"/>
        <w:contextualSpacing w:val="0"/>
        <w:rPr>
          <w:rFonts w:cstheme="minorHAnsi"/>
        </w:rPr>
      </w:pPr>
      <w:r w:rsidRPr="00F259E4">
        <w:rPr>
          <w:rFonts w:cstheme="minorHAnsi"/>
        </w:rPr>
        <w:t>ENA members frequently collaborate and cooperate on network operations.</w:t>
      </w:r>
      <w:r w:rsidR="00401EF6">
        <w:rPr>
          <w:rFonts w:cstheme="minorHAnsi"/>
        </w:rPr>
        <w:br/>
      </w:r>
      <w:r w:rsidRPr="00F259E4">
        <w:rPr>
          <w:rFonts w:cstheme="minorHAnsi"/>
        </w:rPr>
        <w:t xml:space="preserve">A </w:t>
      </w:r>
      <w:r w:rsidR="0063406F">
        <w:rPr>
          <w:rFonts w:cstheme="minorHAnsi"/>
        </w:rPr>
        <w:t>detailed</w:t>
      </w:r>
      <w:r w:rsidRPr="00F259E4">
        <w:rPr>
          <w:rFonts w:cstheme="minorHAnsi"/>
        </w:rPr>
        <w:t xml:space="preserve"> list of collaboration and cooperation examples has been provided to the Panel.</w:t>
      </w:r>
    </w:p>
    <w:p w14:paraId="7B340367" w14:textId="3B0CA593" w:rsidR="00742906" w:rsidRPr="00F259E4" w:rsidRDefault="00742906" w:rsidP="00273087">
      <w:pPr>
        <w:pStyle w:val="ListParagraph"/>
        <w:numPr>
          <w:ilvl w:val="0"/>
          <w:numId w:val="6"/>
        </w:numPr>
        <w:ind w:left="1701" w:hanging="425"/>
        <w:contextualSpacing w:val="0"/>
        <w:rPr>
          <w:rFonts w:cstheme="minorHAnsi"/>
        </w:rPr>
      </w:pPr>
      <w:r w:rsidRPr="00F259E4">
        <w:rPr>
          <w:rFonts w:cstheme="minorHAnsi"/>
        </w:rPr>
        <w:t xml:space="preserve">Briefly, these examples include collaboration through industry associations </w:t>
      </w:r>
      <w:r w:rsidR="0063406F" w:rsidRPr="00F259E4">
        <w:rPr>
          <w:rFonts w:cstheme="minorHAnsi"/>
        </w:rPr>
        <w:t>including</w:t>
      </w:r>
      <w:r w:rsidRPr="00F259E4">
        <w:rPr>
          <w:rFonts w:cstheme="minorHAnsi"/>
        </w:rPr>
        <w:t xml:space="preserve"> the Electricity Networks </w:t>
      </w:r>
      <w:r w:rsidR="0063406F" w:rsidRPr="00F259E4">
        <w:rPr>
          <w:rFonts w:cstheme="minorHAnsi"/>
        </w:rPr>
        <w:t>Association</w:t>
      </w:r>
      <w:r w:rsidRPr="00F259E4">
        <w:rPr>
          <w:rFonts w:cstheme="minorHAnsi"/>
        </w:rPr>
        <w:t xml:space="preserve">, storm and emergency response, shared services, procurement, technical standards, health and safety frameworks, and metering and cyber-security collaboration.  </w:t>
      </w:r>
    </w:p>
    <w:p w14:paraId="0B9BB7F7" w14:textId="6D1CB482" w:rsidR="00742906" w:rsidRPr="00293B6B" w:rsidRDefault="00742906" w:rsidP="00273087">
      <w:pPr>
        <w:pStyle w:val="ListParagraph"/>
        <w:numPr>
          <w:ilvl w:val="0"/>
          <w:numId w:val="6"/>
        </w:numPr>
        <w:spacing w:after="240"/>
        <w:ind w:left="1701" w:hanging="425"/>
        <w:contextualSpacing w:val="0"/>
        <w:rPr>
          <w:rFonts w:cstheme="minorHAnsi"/>
        </w:rPr>
      </w:pPr>
      <w:r w:rsidRPr="00F259E4">
        <w:rPr>
          <w:rFonts w:cstheme="minorHAnsi"/>
        </w:rPr>
        <w:t>Collaboration among EDBs is both extensive and extremely productive. ENA rates the current level of collaboration as at least nine out of ten – allowing for good on-the-ground local knowledge and community ownership blended with the efficient use of shared resources and services as required. Pleasingly, this collaboration has developed ‘organically’ and willingly, and has not been imposed by regulations or centralised control.</w:t>
      </w:r>
    </w:p>
    <w:p w14:paraId="6FED288A" w14:textId="77777777" w:rsidR="00742906" w:rsidRPr="003B7506" w:rsidRDefault="00742906" w:rsidP="00D310C4">
      <w:pPr>
        <w:pStyle w:val="Heading4"/>
        <w:rPr>
          <w:bCs/>
          <w:i w:val="0"/>
          <w:color w:val="000000" w:themeColor="text1"/>
          <w:lang w:eastAsia="en-NZ"/>
        </w:rPr>
      </w:pPr>
      <w:r w:rsidRPr="003B7506">
        <w:rPr>
          <w:i w:val="0"/>
          <w:color w:val="000000" w:themeColor="text1"/>
          <w:lang w:eastAsia="en-NZ"/>
        </w:rPr>
        <w:t>Meter data</w:t>
      </w:r>
    </w:p>
    <w:p w14:paraId="78391D9B" w14:textId="549D4BD1" w:rsidR="00742906" w:rsidRPr="00710A04" w:rsidRDefault="00742906" w:rsidP="00273087">
      <w:pPr>
        <w:pStyle w:val="ListParagraph"/>
        <w:numPr>
          <w:ilvl w:val="0"/>
          <w:numId w:val="6"/>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We agree with the </w:t>
      </w:r>
      <w:r w:rsidR="00F66A2B">
        <w:rPr>
          <w:rFonts w:cstheme="minorHAnsi"/>
          <w:color w:val="000000" w:themeColor="text1"/>
          <w:lang w:eastAsia="en-NZ"/>
        </w:rPr>
        <w:t>Panel</w:t>
      </w:r>
      <w:r w:rsidRPr="00F259E4">
        <w:rPr>
          <w:rFonts w:cstheme="minorHAnsi"/>
          <w:color w:val="000000" w:themeColor="text1"/>
          <w:lang w:eastAsia="en-NZ"/>
        </w:rPr>
        <w:t xml:space="preserve">’s conclusion that metering data should be readily available on reasonable commercial terms so distributors can properly manage their networks, </w:t>
      </w:r>
      <w:r w:rsidRPr="00F259E4">
        <w:rPr>
          <w:rFonts w:cstheme="minorHAnsi"/>
          <w:color w:val="000000" w:themeColor="text1"/>
          <w:lang w:eastAsia="en-NZ"/>
        </w:rPr>
        <w:lastRenderedPageBreak/>
        <w:t xml:space="preserve">including making decisions about maintenance and upgrades and managing power outages more promptly. </w:t>
      </w:r>
    </w:p>
    <w:p w14:paraId="5330FFD0" w14:textId="248248DE" w:rsidR="002A6369" w:rsidRPr="00F259E4" w:rsidRDefault="002A6369" w:rsidP="00273087">
      <w:pPr>
        <w:pStyle w:val="ListParagraph"/>
        <w:numPr>
          <w:ilvl w:val="0"/>
          <w:numId w:val="6"/>
        </w:numPr>
        <w:ind w:left="851" w:hanging="425"/>
        <w:contextualSpacing w:val="0"/>
        <w:rPr>
          <w:rFonts w:cstheme="minorHAnsi"/>
          <w:bCs/>
          <w:color w:val="000000" w:themeColor="text1"/>
          <w:lang w:eastAsia="en-NZ"/>
        </w:rPr>
      </w:pPr>
      <w:r>
        <w:rPr>
          <w:rFonts w:cstheme="minorHAnsi"/>
          <w:bCs/>
          <w:color w:val="000000" w:themeColor="text1"/>
          <w:lang w:eastAsia="en-NZ"/>
        </w:rPr>
        <w:t>EDBs also require access to smart meter consumption data to enable the deployment of revamped pricing options.</w:t>
      </w:r>
      <w:r w:rsidR="008B355F">
        <w:rPr>
          <w:rFonts w:cstheme="minorHAnsi"/>
          <w:bCs/>
          <w:color w:val="000000" w:themeColor="text1"/>
          <w:lang w:eastAsia="en-NZ"/>
        </w:rPr>
        <w:t xml:space="preserve"> EDBs recognise that the protection of consumers</w:t>
      </w:r>
      <w:r w:rsidR="001E7C0C">
        <w:rPr>
          <w:rFonts w:cstheme="minorHAnsi"/>
          <w:bCs/>
          <w:color w:val="000000" w:themeColor="text1"/>
          <w:lang w:eastAsia="en-NZ"/>
        </w:rPr>
        <w:t>’</w:t>
      </w:r>
      <w:r w:rsidR="008B355F">
        <w:rPr>
          <w:rFonts w:cstheme="minorHAnsi"/>
          <w:bCs/>
          <w:color w:val="000000" w:themeColor="text1"/>
          <w:lang w:eastAsia="en-NZ"/>
        </w:rPr>
        <w:t xml:space="preserve"> </w:t>
      </w:r>
      <w:r w:rsidR="00C32C99">
        <w:rPr>
          <w:rFonts w:cstheme="minorHAnsi"/>
          <w:bCs/>
          <w:color w:val="000000" w:themeColor="text1"/>
          <w:lang w:eastAsia="en-NZ"/>
        </w:rPr>
        <w:t>data is of paramount importance</w:t>
      </w:r>
      <w:r w:rsidR="00E328A4">
        <w:rPr>
          <w:rFonts w:cstheme="minorHAnsi"/>
          <w:bCs/>
          <w:color w:val="000000" w:themeColor="text1"/>
          <w:lang w:eastAsia="en-NZ"/>
        </w:rPr>
        <w:t xml:space="preserve"> and would ensure such data is managed appropriately and securely.</w:t>
      </w:r>
    </w:p>
    <w:p w14:paraId="4231BDAB" w14:textId="77777777" w:rsidR="00742906" w:rsidRPr="006F0F44" w:rsidRDefault="00742906" w:rsidP="00273087">
      <w:pPr>
        <w:pStyle w:val="ListParagraph"/>
        <w:numPr>
          <w:ilvl w:val="0"/>
          <w:numId w:val="6"/>
        </w:numPr>
        <w:ind w:left="851" w:hanging="425"/>
        <w:contextualSpacing w:val="0"/>
        <w:rPr>
          <w:rFonts w:cstheme="minorHAnsi"/>
          <w:bCs/>
          <w:color w:val="000000" w:themeColor="text1"/>
          <w:lang w:eastAsia="en-NZ"/>
        </w:rPr>
      </w:pPr>
      <w:r w:rsidRPr="00F259E4">
        <w:rPr>
          <w:rFonts w:cstheme="minorHAnsi"/>
          <w:color w:val="000000" w:themeColor="text1"/>
          <w:lang w:eastAsia="en-NZ"/>
        </w:rPr>
        <w:t>ENA also supports the suggestion of an open-access regime for meter data with standardised terms and conditions for all parties. This would involve meter data being sent to data processors or aggregators which send it to those who request it – mainly retailers and distributors.</w:t>
      </w:r>
    </w:p>
    <w:p w14:paraId="1F2A779E" w14:textId="35322405" w:rsidR="006F0F44" w:rsidRDefault="006F0F44" w:rsidP="00273087">
      <w:pPr>
        <w:pStyle w:val="ListParagraph"/>
        <w:numPr>
          <w:ilvl w:val="0"/>
          <w:numId w:val="6"/>
        </w:numPr>
        <w:spacing w:after="360"/>
        <w:ind w:left="850" w:hanging="425"/>
        <w:contextualSpacing w:val="0"/>
        <w:rPr>
          <w:rFonts w:cstheme="minorHAnsi"/>
          <w:bCs/>
          <w:color w:val="000000" w:themeColor="text1"/>
          <w:lang w:eastAsia="en-NZ"/>
        </w:rPr>
      </w:pPr>
      <w:r w:rsidRPr="006F0F44">
        <w:rPr>
          <w:rFonts w:cstheme="minorHAnsi"/>
          <w:bCs/>
          <w:color w:val="000000" w:themeColor="text1"/>
          <w:lang w:eastAsia="en-NZ"/>
        </w:rPr>
        <w:t>It is important that the terms for access to network data, are such that EDBs, and by extension consumers, can receive the benefits from this data which would otherwise be forgone. Access to consumption data is also important to enable revamped distribution pricing.</w:t>
      </w:r>
    </w:p>
    <w:p w14:paraId="37E35F3C" w14:textId="7D860757" w:rsidR="00742906" w:rsidRPr="00393890" w:rsidRDefault="00742906" w:rsidP="00393890">
      <w:pPr>
        <w:pStyle w:val="Heading2"/>
        <w:spacing w:after="360"/>
        <w:rPr>
          <w:lang w:eastAsia="en-NZ"/>
        </w:rPr>
      </w:pPr>
      <w:r w:rsidRPr="00F259E4">
        <w:rPr>
          <w:lang w:eastAsia="en-NZ"/>
        </w:rPr>
        <w:t>Recommendation</w:t>
      </w:r>
      <w:r w:rsidR="00353F63">
        <w:rPr>
          <w:lang w:eastAsia="en-NZ"/>
        </w:rPr>
        <w:t xml:space="preserve"> </w:t>
      </w:r>
      <w:r w:rsidR="001459AE">
        <w:rPr>
          <w:lang w:eastAsia="en-NZ"/>
        </w:rPr>
        <w:t>4.7</w:t>
      </w:r>
      <w:r w:rsidRPr="00F259E4">
        <w:rPr>
          <w:lang w:eastAsia="en-NZ"/>
        </w:rPr>
        <w:t xml:space="preserve">: </w:t>
      </w:r>
      <w:r w:rsidR="00260214" w:rsidRPr="00260214">
        <w:rPr>
          <w:lang w:eastAsia="en-NZ"/>
        </w:rPr>
        <w:t xml:space="preserve">That the Panel recommends an open access regime for smart meter data (i.e. consumption and network data) with standardised terms and conditions, </w:t>
      </w:r>
      <w:r w:rsidR="006F0F44">
        <w:rPr>
          <w:lang w:eastAsia="en-NZ"/>
        </w:rPr>
        <w:t xml:space="preserve">subject to commercial agreement between all parties. </w:t>
      </w:r>
      <w:r w:rsidR="00260214" w:rsidRPr="00260214">
        <w:rPr>
          <w:lang w:eastAsia="en-NZ"/>
        </w:rPr>
        <w:t xml:space="preserve"> </w:t>
      </w:r>
    </w:p>
    <w:p w14:paraId="4E849DF3" w14:textId="44C2BAD3" w:rsidR="00742906" w:rsidRPr="003B7506" w:rsidRDefault="00742906" w:rsidP="00393890">
      <w:pPr>
        <w:pStyle w:val="Heading4"/>
        <w:rPr>
          <w:bCs/>
          <w:i w:val="0"/>
          <w:color w:val="000000" w:themeColor="text1"/>
          <w:lang w:eastAsia="en-NZ"/>
        </w:rPr>
      </w:pPr>
      <w:r w:rsidRPr="003B7506">
        <w:rPr>
          <w:i w:val="0"/>
          <w:color w:val="000000" w:themeColor="text1"/>
          <w:lang w:eastAsia="en-NZ"/>
        </w:rPr>
        <w:t>Asset management and planning</w:t>
      </w:r>
    </w:p>
    <w:p w14:paraId="50AC46E6" w14:textId="77777777" w:rsidR="00742906" w:rsidRPr="00F259E4" w:rsidRDefault="00742906" w:rsidP="00273087">
      <w:pPr>
        <w:pStyle w:val="ListParagraph"/>
        <w:numPr>
          <w:ilvl w:val="0"/>
          <w:numId w:val="18"/>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 xml:space="preserve">ENA is aware of concerns raised around long-term asset planning. </w:t>
      </w:r>
    </w:p>
    <w:p w14:paraId="7C28B44D" w14:textId="309691C0" w:rsidR="00742906" w:rsidRPr="00F259E4" w:rsidRDefault="00742906" w:rsidP="00273087">
      <w:pPr>
        <w:pStyle w:val="ListParagraph"/>
        <w:numPr>
          <w:ilvl w:val="0"/>
          <w:numId w:val="18"/>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 xml:space="preserve">EDBs each year prepare and publish a formal </w:t>
      </w:r>
      <w:r w:rsidR="001E7C0C">
        <w:rPr>
          <w:rFonts w:cstheme="minorHAnsi"/>
          <w:bCs/>
          <w:color w:val="000000" w:themeColor="text1"/>
          <w:lang w:eastAsia="en-NZ"/>
        </w:rPr>
        <w:t>ten</w:t>
      </w:r>
      <w:r w:rsidRPr="00F259E4">
        <w:rPr>
          <w:rFonts w:cstheme="minorHAnsi"/>
          <w:bCs/>
          <w:color w:val="000000" w:themeColor="text1"/>
          <w:lang w:eastAsia="en-NZ"/>
        </w:rPr>
        <w:t>-year asset management plan</w:t>
      </w:r>
      <w:r w:rsidR="005D4788">
        <w:rPr>
          <w:rFonts w:cstheme="minorHAnsi"/>
          <w:bCs/>
          <w:color w:val="000000" w:themeColor="text1"/>
          <w:lang w:eastAsia="en-NZ"/>
        </w:rPr>
        <w:t xml:space="preserve"> (AMP)</w:t>
      </w:r>
      <w:r w:rsidRPr="00F259E4">
        <w:rPr>
          <w:rFonts w:cstheme="minorHAnsi"/>
          <w:bCs/>
          <w:color w:val="000000" w:themeColor="text1"/>
          <w:lang w:eastAsia="en-NZ"/>
        </w:rPr>
        <w:t xml:space="preserve">, which is a sufficiently long and effective public planning horizon. </w:t>
      </w:r>
    </w:p>
    <w:p w14:paraId="4099EA81" w14:textId="3DA13DD5" w:rsidR="00742906" w:rsidRPr="00F259E4" w:rsidRDefault="00742906" w:rsidP="00273087">
      <w:pPr>
        <w:pStyle w:val="ListParagraph"/>
        <w:numPr>
          <w:ilvl w:val="0"/>
          <w:numId w:val="18"/>
        </w:numPr>
        <w:spacing w:after="240"/>
        <w:ind w:left="851" w:hanging="425"/>
        <w:contextualSpacing w:val="0"/>
        <w:rPr>
          <w:rFonts w:cstheme="minorHAnsi"/>
          <w:bCs/>
          <w:color w:val="000000" w:themeColor="text1"/>
          <w:lang w:eastAsia="en-NZ"/>
        </w:rPr>
      </w:pPr>
      <w:r w:rsidRPr="00F259E4">
        <w:rPr>
          <w:rFonts w:cstheme="minorHAnsi"/>
          <w:bCs/>
          <w:color w:val="000000" w:themeColor="text1"/>
          <w:lang w:eastAsia="en-NZ"/>
        </w:rPr>
        <w:t>In addition to documented AMP</w:t>
      </w:r>
      <w:r w:rsidR="005D4788">
        <w:rPr>
          <w:rFonts w:cstheme="minorHAnsi"/>
          <w:bCs/>
          <w:color w:val="000000" w:themeColor="text1"/>
          <w:lang w:eastAsia="en-NZ"/>
        </w:rPr>
        <w:t>s</w:t>
      </w:r>
      <w:r w:rsidRPr="00F259E4">
        <w:rPr>
          <w:rFonts w:cstheme="minorHAnsi"/>
          <w:bCs/>
          <w:color w:val="000000" w:themeColor="text1"/>
          <w:lang w:eastAsia="en-NZ"/>
        </w:rPr>
        <w:t xml:space="preserve">, EDBs also carry out long-range planning and strategic analysis for governance discussions. It would be incorrect to say that no thought is put into asset planning beyond the </w:t>
      </w:r>
      <w:r w:rsidR="005D4788">
        <w:rPr>
          <w:rFonts w:cstheme="minorHAnsi"/>
          <w:bCs/>
          <w:color w:val="000000" w:themeColor="text1"/>
          <w:lang w:eastAsia="en-NZ"/>
        </w:rPr>
        <w:t>ten</w:t>
      </w:r>
      <w:r w:rsidRPr="00F259E4">
        <w:rPr>
          <w:rFonts w:cstheme="minorHAnsi"/>
          <w:bCs/>
          <w:color w:val="000000" w:themeColor="text1"/>
          <w:lang w:eastAsia="en-NZ"/>
        </w:rPr>
        <w:t>-year window of the AMP.</w:t>
      </w:r>
    </w:p>
    <w:p w14:paraId="014A847B" w14:textId="4A4F4608" w:rsidR="00742906" w:rsidRPr="003B7506" w:rsidRDefault="00742906" w:rsidP="00D310C4">
      <w:pPr>
        <w:pStyle w:val="Heading4"/>
        <w:rPr>
          <w:i w:val="0"/>
          <w:color w:val="000000" w:themeColor="text1"/>
          <w:lang w:eastAsia="en-NZ"/>
        </w:rPr>
      </w:pPr>
      <w:r w:rsidRPr="003B7506">
        <w:rPr>
          <w:i w:val="0"/>
          <w:color w:val="000000" w:themeColor="text1"/>
          <w:lang w:eastAsia="en-NZ"/>
        </w:rPr>
        <w:t>Ageing assets</w:t>
      </w:r>
    </w:p>
    <w:p w14:paraId="22C90381" w14:textId="77777777" w:rsidR="00742906" w:rsidRPr="00F259E4" w:rsidRDefault="00742906" w:rsidP="00273087">
      <w:pPr>
        <w:pStyle w:val="ListParagraph"/>
        <w:numPr>
          <w:ilvl w:val="0"/>
          <w:numId w:val="19"/>
        </w:numPr>
        <w:ind w:left="851" w:hanging="425"/>
        <w:contextualSpacing w:val="0"/>
        <w:rPr>
          <w:rFonts w:cstheme="minorHAnsi"/>
          <w:color w:val="000000" w:themeColor="text1"/>
          <w:lang w:eastAsia="en-NZ"/>
        </w:rPr>
      </w:pPr>
      <w:r w:rsidRPr="00F259E4">
        <w:rPr>
          <w:rFonts w:cstheme="minorHAnsi"/>
          <w:color w:val="000000" w:themeColor="text1"/>
          <w:lang w:eastAsia="en-NZ"/>
        </w:rPr>
        <w:t>Some EDBs are facing a period in the short- and medium-term planning horizon which will require decisions on significant asset upgrades.</w:t>
      </w:r>
    </w:p>
    <w:p w14:paraId="149834C6" w14:textId="77777777" w:rsidR="00742906" w:rsidRPr="00F259E4" w:rsidRDefault="00742906" w:rsidP="00273087">
      <w:pPr>
        <w:pStyle w:val="ListParagraph"/>
        <w:numPr>
          <w:ilvl w:val="0"/>
          <w:numId w:val="19"/>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These assets installed in the 1960s and 1970s now require replacement. Most EDBs are managing this maintenance and investment through default price paths. However, others with significant spending requirements have the option of applying for a customised price path. </w:t>
      </w:r>
    </w:p>
    <w:p w14:paraId="19B4EC10" w14:textId="45B4B167" w:rsidR="00742906" w:rsidRPr="00393890" w:rsidRDefault="00742906" w:rsidP="00273087">
      <w:pPr>
        <w:pStyle w:val="ListParagraph"/>
        <w:numPr>
          <w:ilvl w:val="0"/>
          <w:numId w:val="19"/>
        </w:numPr>
        <w:spacing w:after="360"/>
        <w:ind w:left="850" w:hanging="425"/>
        <w:contextualSpacing w:val="0"/>
        <w:rPr>
          <w:rFonts w:cstheme="minorHAnsi"/>
          <w:color w:val="000000" w:themeColor="text1"/>
          <w:lang w:eastAsia="en-NZ"/>
        </w:rPr>
      </w:pPr>
      <w:r w:rsidRPr="00F259E4">
        <w:rPr>
          <w:rFonts w:cstheme="minorHAnsi"/>
          <w:color w:val="000000" w:themeColor="text1"/>
          <w:lang w:eastAsia="en-NZ"/>
        </w:rPr>
        <w:t xml:space="preserve">So far there has been two ‘ordinary’ CPP approvals (the first, for Orion, was extraordinary because it stemmed from the Christchurch earthquake). At least one more CPP (Aurora) is in the planning stages.  </w:t>
      </w:r>
    </w:p>
    <w:p w14:paraId="4DE298DA" w14:textId="77777777" w:rsidR="00840FCA" w:rsidRDefault="00742906" w:rsidP="00EB16E6">
      <w:pPr>
        <w:pStyle w:val="ListParagraph"/>
        <w:numPr>
          <w:ilvl w:val="0"/>
          <w:numId w:val="67"/>
        </w:numPr>
        <w:spacing w:after="240"/>
        <w:ind w:left="425" w:hanging="425"/>
        <w:contextualSpacing w:val="0"/>
        <w:jc w:val="both"/>
        <w:rPr>
          <w:rFonts w:cstheme="minorHAnsi"/>
          <w:b/>
          <w:color w:val="000000" w:themeColor="text1"/>
        </w:rPr>
      </w:pPr>
      <w:r w:rsidRPr="00F259E4">
        <w:rPr>
          <w:rFonts w:cstheme="minorHAnsi"/>
          <w:b/>
          <w:color w:val="000000" w:themeColor="text1"/>
        </w:rPr>
        <w:t xml:space="preserve">What are your views on the assessment of the allocation of distribution costs?  </w:t>
      </w:r>
    </w:p>
    <w:p w14:paraId="4CD0E882" w14:textId="2763A5B0" w:rsidR="00742906" w:rsidRPr="00840FCA" w:rsidRDefault="00840FCA" w:rsidP="00393890">
      <w:pPr>
        <w:spacing w:after="120"/>
        <w:rPr>
          <w:rFonts w:cstheme="minorHAnsi"/>
          <w:b/>
          <w:color w:val="000000" w:themeColor="text1"/>
        </w:rPr>
      </w:pPr>
      <w:r>
        <w:rPr>
          <w:rFonts w:cstheme="minorHAnsi"/>
          <w:b/>
          <w:color w:val="000000" w:themeColor="text1"/>
        </w:rPr>
        <w:t>Business versus residential</w:t>
      </w:r>
      <w:r w:rsidRPr="00840FCA">
        <w:rPr>
          <w:rFonts w:cstheme="minorHAnsi"/>
          <w:b/>
          <w:color w:val="000000" w:themeColor="text1"/>
        </w:rPr>
        <w:t xml:space="preserve"> </w:t>
      </w:r>
    </w:p>
    <w:p w14:paraId="05749863" w14:textId="0CF558B3" w:rsidR="00742906" w:rsidRPr="00F259E4" w:rsidRDefault="00742906" w:rsidP="00273087">
      <w:pPr>
        <w:pStyle w:val="ListParagraph"/>
        <w:widowControl w:val="0"/>
        <w:numPr>
          <w:ilvl w:val="0"/>
          <w:numId w:val="20"/>
        </w:numPr>
        <w:ind w:left="709" w:hanging="283"/>
        <w:contextualSpacing w:val="0"/>
        <w:rPr>
          <w:rFonts w:cstheme="minorHAnsi"/>
          <w:bCs/>
        </w:rPr>
      </w:pPr>
      <w:r w:rsidRPr="00F259E4">
        <w:rPr>
          <w:rFonts w:cstheme="minorHAnsi"/>
        </w:rPr>
        <w:lastRenderedPageBreak/>
        <w:t xml:space="preserve">We agree with the </w:t>
      </w:r>
      <w:r w:rsidR="00F66A2B">
        <w:rPr>
          <w:rFonts w:cstheme="minorHAnsi"/>
        </w:rPr>
        <w:t>Panel</w:t>
      </w:r>
      <w:r w:rsidRPr="00F259E4">
        <w:rPr>
          <w:rFonts w:cstheme="minorHAnsi"/>
        </w:rPr>
        <w:t xml:space="preserve"> that there could be</w:t>
      </w:r>
      <w:r w:rsidR="00A53EAF">
        <w:rPr>
          <w:rFonts w:cstheme="minorHAnsi"/>
        </w:rPr>
        <w:t xml:space="preserve"> merit in</w:t>
      </w:r>
      <w:r w:rsidRPr="00F259E4">
        <w:rPr>
          <w:rFonts w:cstheme="minorHAnsi"/>
        </w:rPr>
        <w:t xml:space="preserve"> a discussion or review of how costs are allocated between residential and non-residential</w:t>
      </w:r>
      <w:r w:rsidR="00A53EAF">
        <w:rPr>
          <w:rFonts w:cstheme="minorHAnsi"/>
        </w:rPr>
        <w:t xml:space="preserve"> consumers.</w:t>
      </w:r>
    </w:p>
    <w:p w14:paraId="68AD4A44" w14:textId="63C625FA" w:rsidR="00CF2207" w:rsidRPr="00CF2207" w:rsidRDefault="00742906" w:rsidP="00273087">
      <w:pPr>
        <w:pStyle w:val="ListParagraph"/>
        <w:widowControl w:val="0"/>
        <w:numPr>
          <w:ilvl w:val="0"/>
          <w:numId w:val="20"/>
        </w:numPr>
        <w:ind w:left="709" w:hanging="283"/>
        <w:contextualSpacing w:val="0"/>
        <w:rPr>
          <w:rFonts w:cstheme="minorHAnsi"/>
          <w:b/>
          <w:bCs/>
          <w:color w:val="000000" w:themeColor="text1"/>
          <w:lang w:eastAsia="en-NZ"/>
        </w:rPr>
      </w:pPr>
      <w:r w:rsidRPr="00F259E4">
        <w:rPr>
          <w:rFonts w:cstheme="minorHAnsi"/>
          <w:color w:val="000000" w:themeColor="text1"/>
          <w:lang w:eastAsia="en-NZ"/>
        </w:rPr>
        <w:t xml:space="preserve">That said, </w:t>
      </w:r>
      <w:r w:rsidR="005C7E11">
        <w:rPr>
          <w:rFonts w:cstheme="minorHAnsi"/>
          <w:color w:val="000000" w:themeColor="text1"/>
          <w:lang w:eastAsia="en-NZ"/>
        </w:rPr>
        <w:t>ENA m</w:t>
      </w:r>
      <w:r w:rsidRPr="00F259E4">
        <w:rPr>
          <w:rFonts w:cstheme="minorHAnsi"/>
          <w:color w:val="000000" w:themeColor="text1"/>
          <w:lang w:eastAsia="en-NZ"/>
        </w:rPr>
        <w:t>embers have raised questions about the Concept Consulting study on allocation.</w:t>
      </w:r>
    </w:p>
    <w:p w14:paraId="6506BEF7" w14:textId="2FA15D06" w:rsidR="00742906" w:rsidRPr="00F259E4" w:rsidRDefault="00742906" w:rsidP="00273087">
      <w:pPr>
        <w:pStyle w:val="ListParagraph"/>
        <w:widowControl w:val="0"/>
        <w:numPr>
          <w:ilvl w:val="0"/>
          <w:numId w:val="20"/>
        </w:numPr>
        <w:ind w:left="709" w:hanging="283"/>
        <w:contextualSpacing w:val="0"/>
        <w:rPr>
          <w:rFonts w:cstheme="minorHAnsi"/>
          <w:b/>
          <w:bCs/>
          <w:color w:val="000000" w:themeColor="text1"/>
          <w:lang w:eastAsia="en-NZ"/>
        </w:rPr>
      </w:pPr>
      <w:r w:rsidRPr="00F259E4">
        <w:rPr>
          <w:rFonts w:cstheme="minorHAnsi"/>
          <w:color w:val="000000" w:themeColor="text1"/>
          <w:lang w:eastAsia="en-NZ"/>
        </w:rPr>
        <w:t xml:space="preserve">The study and the </w:t>
      </w:r>
      <w:r w:rsidR="005C7E11">
        <w:rPr>
          <w:rFonts w:cstheme="minorHAnsi"/>
          <w:color w:val="000000" w:themeColor="text1"/>
          <w:lang w:eastAsia="en-NZ"/>
        </w:rPr>
        <w:t>P</w:t>
      </w:r>
      <w:r w:rsidRPr="00F259E4">
        <w:rPr>
          <w:rFonts w:cstheme="minorHAnsi"/>
          <w:color w:val="000000" w:themeColor="text1"/>
          <w:lang w:eastAsia="en-NZ"/>
        </w:rPr>
        <w:t xml:space="preserve">anel are suggesting that residential customers are paying more of </w:t>
      </w:r>
      <w:r w:rsidR="00CF2207">
        <w:rPr>
          <w:rFonts w:cstheme="minorHAnsi"/>
          <w:color w:val="000000" w:themeColor="text1"/>
          <w:lang w:eastAsia="en-NZ"/>
        </w:rPr>
        <w:t xml:space="preserve">shared </w:t>
      </w:r>
      <w:r w:rsidRPr="00F259E4">
        <w:rPr>
          <w:rFonts w:cstheme="minorHAnsi"/>
          <w:color w:val="000000" w:themeColor="text1"/>
          <w:lang w:eastAsia="en-NZ"/>
        </w:rPr>
        <w:t xml:space="preserve">costs than they should, and commercial is paying less. </w:t>
      </w:r>
    </w:p>
    <w:p w14:paraId="4ED901FD" w14:textId="77777777" w:rsidR="00742906" w:rsidRPr="00F259E4" w:rsidRDefault="00742906" w:rsidP="00273087">
      <w:pPr>
        <w:pStyle w:val="ListParagraph"/>
        <w:widowControl w:val="0"/>
        <w:numPr>
          <w:ilvl w:val="0"/>
          <w:numId w:val="20"/>
        </w:numPr>
        <w:ind w:left="709" w:hanging="283"/>
        <w:contextualSpacing w:val="0"/>
        <w:rPr>
          <w:rFonts w:cstheme="minorHAnsi"/>
          <w:bCs/>
          <w:color w:val="000000" w:themeColor="text1"/>
          <w:lang w:eastAsia="en-NZ"/>
        </w:rPr>
      </w:pPr>
      <w:r w:rsidRPr="00F259E4">
        <w:rPr>
          <w:rFonts w:cstheme="minorHAnsi"/>
          <w:color w:val="000000" w:themeColor="text1"/>
          <w:lang w:eastAsia="en-NZ"/>
        </w:rPr>
        <w:t>Network pricing allocation differs across EDBs so it is difficult to make this general conclusion at this time.</w:t>
      </w:r>
    </w:p>
    <w:p w14:paraId="65BBF41D" w14:textId="43A65466" w:rsidR="00742906" w:rsidRDefault="00742906" w:rsidP="00273087">
      <w:pPr>
        <w:pStyle w:val="ListParagraph"/>
        <w:widowControl w:val="0"/>
        <w:numPr>
          <w:ilvl w:val="0"/>
          <w:numId w:val="20"/>
        </w:numPr>
        <w:ind w:left="709" w:hanging="284"/>
        <w:contextualSpacing w:val="0"/>
        <w:rPr>
          <w:rFonts w:cstheme="minorHAnsi"/>
          <w:color w:val="000000" w:themeColor="text1"/>
          <w:lang w:eastAsia="en-NZ"/>
        </w:rPr>
      </w:pPr>
      <w:r w:rsidRPr="00F259E4">
        <w:rPr>
          <w:rFonts w:cstheme="minorHAnsi"/>
          <w:color w:val="000000" w:themeColor="text1"/>
          <w:lang w:eastAsia="en-NZ"/>
        </w:rPr>
        <w:t>ENA notes that the introduction of new pricing methods such as capacity, demand, or time-of-use pricing, should result in shared costs being apportioned fairly across customer groups.</w:t>
      </w:r>
    </w:p>
    <w:p w14:paraId="36CA73F8" w14:textId="17716F97" w:rsidR="000B376A" w:rsidRPr="0037068D" w:rsidRDefault="000B376A" w:rsidP="00273087">
      <w:pPr>
        <w:pStyle w:val="ListParagraph"/>
        <w:widowControl w:val="0"/>
        <w:numPr>
          <w:ilvl w:val="0"/>
          <w:numId w:val="20"/>
        </w:numPr>
        <w:ind w:left="709" w:hanging="284"/>
        <w:contextualSpacing w:val="0"/>
        <w:rPr>
          <w:rFonts w:cstheme="minorHAnsi"/>
          <w:color w:val="000000" w:themeColor="text1"/>
          <w:lang w:eastAsia="en-NZ"/>
        </w:rPr>
      </w:pPr>
      <w:r w:rsidRPr="0037068D">
        <w:rPr>
          <w:rFonts w:cstheme="minorHAnsi"/>
          <w:color w:val="000000" w:themeColor="text1"/>
          <w:lang w:eastAsia="en-NZ"/>
        </w:rPr>
        <w:t xml:space="preserve">As acknowledged in the Concept Consulting analysis, some EDBs do not have a residential group of customers – load groups may instead simply be defined on the basis of capacity. Many small businesses are in the same low load groups as households. This makes clean comparisons between residential and non-residential customers problematic but not impossible. </w:t>
      </w:r>
    </w:p>
    <w:p w14:paraId="70C9CD18" w14:textId="77777777" w:rsidR="00010BFE" w:rsidRPr="0037068D" w:rsidRDefault="00010BFE" w:rsidP="00273087">
      <w:pPr>
        <w:pStyle w:val="ListParagraph"/>
        <w:widowControl w:val="0"/>
        <w:numPr>
          <w:ilvl w:val="0"/>
          <w:numId w:val="20"/>
        </w:numPr>
        <w:ind w:left="851" w:hanging="425"/>
        <w:contextualSpacing w:val="0"/>
        <w:jc w:val="both"/>
        <w:rPr>
          <w:rFonts w:cstheme="minorHAnsi"/>
          <w:color w:val="000000" w:themeColor="text1"/>
          <w:lang w:eastAsia="en-NZ"/>
        </w:rPr>
      </w:pPr>
      <w:r w:rsidRPr="0037068D">
        <w:rPr>
          <w:rFonts w:cstheme="minorHAnsi"/>
          <w:color w:val="000000" w:themeColor="text1"/>
          <w:lang w:eastAsia="en-NZ"/>
        </w:rPr>
        <w:t>Concept undertakes a set of calculations which involve:</w:t>
      </w:r>
    </w:p>
    <w:p w14:paraId="08CDF9CC" w14:textId="7724E873" w:rsidR="00010BFE" w:rsidRPr="0037068D" w:rsidRDefault="00010BFE" w:rsidP="00273087">
      <w:pPr>
        <w:pStyle w:val="ListParagraph"/>
        <w:widowControl w:val="0"/>
        <w:numPr>
          <w:ilvl w:val="0"/>
          <w:numId w:val="60"/>
        </w:numPr>
        <w:contextualSpacing w:val="0"/>
        <w:rPr>
          <w:rFonts w:cstheme="minorHAnsi"/>
          <w:color w:val="000000" w:themeColor="text1"/>
          <w:lang w:eastAsia="en-NZ"/>
        </w:rPr>
      </w:pPr>
      <w:r w:rsidRPr="0037068D">
        <w:rPr>
          <w:rFonts w:cstheme="minorHAnsi"/>
          <w:color w:val="000000" w:themeColor="text1"/>
          <w:lang w:eastAsia="en-NZ"/>
        </w:rPr>
        <w:t>estimating incremental and standalone costs for residential and business customers based on a series of assumptions</w:t>
      </w:r>
      <w:r w:rsidR="00577D8E">
        <w:rPr>
          <w:rFonts w:cstheme="minorHAnsi"/>
          <w:color w:val="000000" w:themeColor="text1"/>
          <w:lang w:eastAsia="en-NZ"/>
        </w:rPr>
        <w:t>,</w:t>
      </w:r>
      <w:r w:rsidRPr="0037068D">
        <w:rPr>
          <w:rFonts w:cstheme="minorHAnsi"/>
          <w:color w:val="000000" w:themeColor="text1"/>
          <w:lang w:eastAsia="en-NZ"/>
        </w:rPr>
        <w:t xml:space="preserve"> and then</w:t>
      </w:r>
      <w:r w:rsidR="00577D8E">
        <w:rPr>
          <w:rFonts w:cstheme="minorHAnsi"/>
          <w:color w:val="000000" w:themeColor="text1"/>
          <w:lang w:eastAsia="en-NZ"/>
        </w:rPr>
        <w:t>;</w:t>
      </w:r>
    </w:p>
    <w:p w14:paraId="60F4C61F" w14:textId="75E24448" w:rsidR="00010BFE" w:rsidRPr="0037068D" w:rsidRDefault="00010BFE" w:rsidP="00273087">
      <w:pPr>
        <w:pStyle w:val="ListParagraph"/>
        <w:widowControl w:val="0"/>
        <w:numPr>
          <w:ilvl w:val="0"/>
          <w:numId w:val="60"/>
        </w:numPr>
        <w:contextualSpacing w:val="0"/>
        <w:rPr>
          <w:rFonts w:cstheme="minorHAnsi"/>
          <w:color w:val="000000" w:themeColor="text1"/>
          <w:lang w:eastAsia="en-NZ"/>
        </w:rPr>
      </w:pPr>
      <w:r w:rsidRPr="0037068D">
        <w:rPr>
          <w:rFonts w:cstheme="minorHAnsi"/>
          <w:color w:val="000000" w:themeColor="text1"/>
          <w:lang w:eastAsia="en-NZ"/>
        </w:rPr>
        <w:t>calculating the implications of alternative approaches to allocating shared costs, one of which involves allocating shared costs mid-way between incremental and standalone costs and the other where 100 per cent of shared costs are allocated to business customer. The shared costs estimated by Concept include</w:t>
      </w:r>
      <w:r w:rsidR="002B7168">
        <w:rPr>
          <w:rFonts w:cstheme="minorHAnsi"/>
          <w:color w:val="000000" w:themeColor="text1"/>
          <w:lang w:eastAsia="en-NZ"/>
        </w:rPr>
        <w:t>s</w:t>
      </w:r>
      <w:r w:rsidRPr="0037068D">
        <w:rPr>
          <w:rFonts w:cstheme="minorHAnsi"/>
          <w:color w:val="000000" w:themeColor="text1"/>
          <w:lang w:eastAsia="en-NZ"/>
        </w:rPr>
        <w:t xml:space="preserve"> not only non-network shared costs, but also a portion of network costs.</w:t>
      </w:r>
    </w:p>
    <w:p w14:paraId="29618A40" w14:textId="046278AB"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On this basis, Concept concludes that network charges could fall by 11% for residential connections, leading to a 4.5% (or $90 per annum) reduction in retail bills for residential customers, with network charges increasing by 13% for business customers</w:t>
      </w:r>
      <w:r w:rsidR="002B7168">
        <w:rPr>
          <w:rFonts w:cstheme="minorHAnsi"/>
          <w:color w:val="000000" w:themeColor="text1"/>
          <w:lang w:eastAsia="en-NZ"/>
        </w:rPr>
        <w:t>,</w:t>
      </w:r>
      <w:r w:rsidRPr="0037068D">
        <w:rPr>
          <w:rFonts w:cstheme="minorHAnsi"/>
          <w:color w:val="000000" w:themeColor="text1"/>
          <w:lang w:eastAsia="en-NZ"/>
        </w:rPr>
        <w:t xml:space="preserve"> translating to a 5.5% increase in business customer retail bills.  Concept also presents an extreme result where all shared costs are allocated to business customers, which it finds may increase business network charges on average by 54% (increasing the average business retail bill by 23.5%) and would reduce average residential network charges by 46% (reducing the average residential retail bill by 17.5%). </w:t>
      </w:r>
    </w:p>
    <w:p w14:paraId="1E017DD0" w14:textId="77777777"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The ENA appreciates that these are only indicative estimates of potential changes in charges as a result of a revised allocation methodology. Consequently, we have not provided a full evaluation of the assumptions and calculations in this submission. However, in the ENA’s view, this analysis is not particularly helpful in identifying whether a problem exists and, if so, the potential cause of the problem and the most appropriate solution.</w:t>
      </w:r>
    </w:p>
    <w:p w14:paraId="3A444FC2" w14:textId="4370E9CB"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 xml:space="preserve">All EDBs are required to publish a pricing methodology each year which, among other things, sets out how the distribution revenue requirement is allocated to individual load groups for the purposes of determining prices.  A review of these methodologies would have revealed a number of factors that contribute to the cost allocation outcome for </w:t>
      </w:r>
      <w:r w:rsidRPr="0037068D">
        <w:rPr>
          <w:rFonts w:cstheme="minorHAnsi"/>
          <w:color w:val="000000" w:themeColor="text1"/>
          <w:lang w:eastAsia="en-NZ"/>
        </w:rPr>
        <w:lastRenderedPageBreak/>
        <w:t>residential and business customers, including the allocation methodologies adopted and the usage profiles of the customer base.</w:t>
      </w:r>
    </w:p>
    <w:p w14:paraId="69B48BFB" w14:textId="2F53A667"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 xml:space="preserve">Importantly, the review would also have found that EDB allocation methodologies usually reflect the network service provided and the usage or demand characteristics of the load groups.  For example, </w:t>
      </w:r>
      <w:r w:rsidR="00D23F25">
        <w:rPr>
          <w:rFonts w:cstheme="minorHAnsi"/>
          <w:color w:val="000000" w:themeColor="text1"/>
          <w:lang w:eastAsia="en-NZ"/>
        </w:rPr>
        <w:t>low voltage (</w:t>
      </w:r>
      <w:r w:rsidRPr="0037068D">
        <w:rPr>
          <w:rFonts w:cstheme="minorHAnsi"/>
          <w:color w:val="000000" w:themeColor="text1"/>
          <w:lang w:eastAsia="en-NZ"/>
        </w:rPr>
        <w:t>LV</w:t>
      </w:r>
      <w:r w:rsidR="00D23F25">
        <w:rPr>
          <w:rFonts w:cstheme="minorHAnsi"/>
          <w:color w:val="000000" w:themeColor="text1"/>
          <w:lang w:eastAsia="en-NZ"/>
        </w:rPr>
        <w:t>)</w:t>
      </w:r>
      <w:r w:rsidRPr="0037068D">
        <w:rPr>
          <w:rFonts w:cstheme="minorHAnsi"/>
          <w:color w:val="000000" w:themeColor="text1"/>
          <w:lang w:eastAsia="en-NZ"/>
        </w:rPr>
        <w:t xml:space="preserve"> costs are generally allocated to load groups that use the LV network, usually on the basis of some measure of capacity or demand.  This means an LV customer with particular usage characteristics will be allocated exactly the same level of costs, regardless of whether they are defined as residential or business.</w:t>
      </w:r>
    </w:p>
    <w:p w14:paraId="4E6B1977" w14:textId="77777777"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 xml:space="preserve">In contrast, the Concept approach could result in a different level of distribution costs being allocated to customers using exactly the same network service simply on the basis of whether they are defined as residential or business.  In the ENA’s view, the Concept approach is largely arbitrary and has the potential to lead to extreme and potentially inefficient results. </w:t>
      </w:r>
    </w:p>
    <w:p w14:paraId="7DBCB8AD" w14:textId="77777777"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Notwithstanding the difficulties with the Concept analysis, the ENA does believe there is potential for improvement in the allocation methodologies adopted by EDBs, which could lead to reduced bills for residential customers.  However, these improvements should be based on a clear understanding of what is driving the current outcomes and the implementation of changes that will lead to more efficient and equitable outcomes.</w:t>
      </w:r>
    </w:p>
    <w:p w14:paraId="4C05CBDE" w14:textId="77777777" w:rsidR="00010BFE" w:rsidRPr="0037068D" w:rsidRDefault="00010BFE" w:rsidP="00273087">
      <w:pPr>
        <w:pStyle w:val="ListParagraph"/>
        <w:widowControl w:val="0"/>
        <w:numPr>
          <w:ilvl w:val="0"/>
          <w:numId w:val="20"/>
        </w:numPr>
        <w:ind w:left="851" w:hanging="425"/>
        <w:contextualSpacing w:val="0"/>
        <w:rPr>
          <w:rFonts w:cstheme="minorHAnsi"/>
          <w:color w:val="000000" w:themeColor="text1"/>
          <w:lang w:eastAsia="en-NZ"/>
        </w:rPr>
      </w:pPr>
      <w:r w:rsidRPr="0037068D">
        <w:rPr>
          <w:rFonts w:cstheme="minorHAnsi"/>
          <w:color w:val="000000" w:themeColor="text1"/>
          <w:lang w:eastAsia="en-NZ"/>
        </w:rPr>
        <w:t xml:space="preserve">In the ENA’s view, careful consideration also needs to be given to the implementation of any changes, as large immediate changes could compromise the competitiveness of New Zealand businesses, whereas if timed more carefully, reductions in residential bills could be delivered with minimal impact on business customers. </w:t>
      </w:r>
    </w:p>
    <w:p w14:paraId="156AE9C7" w14:textId="5C63B7B3" w:rsidR="00010BFE" w:rsidRDefault="00010BFE" w:rsidP="00273087">
      <w:pPr>
        <w:pStyle w:val="ListParagraph"/>
        <w:widowControl w:val="0"/>
        <w:numPr>
          <w:ilvl w:val="0"/>
          <w:numId w:val="20"/>
        </w:numPr>
        <w:spacing w:after="360"/>
        <w:ind w:left="850" w:hanging="425"/>
        <w:contextualSpacing w:val="0"/>
        <w:rPr>
          <w:rFonts w:cstheme="minorHAnsi"/>
          <w:color w:val="000000" w:themeColor="text1"/>
          <w:lang w:eastAsia="en-NZ"/>
        </w:rPr>
      </w:pPr>
      <w:r w:rsidRPr="0037068D">
        <w:rPr>
          <w:rFonts w:cstheme="minorHAnsi"/>
          <w:color w:val="000000" w:themeColor="text1"/>
          <w:lang w:eastAsia="en-NZ"/>
        </w:rPr>
        <w:t>The ENA proposes that a working group of EDBs is established to develop a common approach to distribution cost allocation, including an implementation program, which will deliver a more efficient and equitable allocation of distribution costs.</w:t>
      </w:r>
    </w:p>
    <w:p w14:paraId="2B609373" w14:textId="48900A4D" w:rsidR="00502AA5" w:rsidRPr="003B7506" w:rsidRDefault="00502AA5" w:rsidP="00401EF6">
      <w:pPr>
        <w:pStyle w:val="Heading2"/>
        <w:spacing w:after="360"/>
        <w:rPr>
          <w:lang w:eastAsia="en-NZ"/>
        </w:rPr>
      </w:pPr>
      <w:r w:rsidRPr="00502AA5">
        <w:rPr>
          <w:lang w:eastAsia="en-NZ"/>
        </w:rPr>
        <w:t>Recommendation</w:t>
      </w:r>
      <w:r w:rsidR="00983EFF">
        <w:rPr>
          <w:lang w:eastAsia="en-NZ"/>
        </w:rPr>
        <w:t xml:space="preserve"> 4.8</w:t>
      </w:r>
      <w:r w:rsidRPr="00502AA5">
        <w:rPr>
          <w:lang w:eastAsia="en-NZ"/>
        </w:rPr>
        <w:t>:</w:t>
      </w:r>
      <w:r w:rsidR="003B7506">
        <w:rPr>
          <w:lang w:eastAsia="en-NZ"/>
        </w:rPr>
        <w:t xml:space="preserve"> </w:t>
      </w:r>
      <w:r w:rsidRPr="00502AA5">
        <w:rPr>
          <w:lang w:eastAsia="en-NZ"/>
        </w:rPr>
        <w:t xml:space="preserve">That the Panel recommends </w:t>
      </w:r>
      <w:r w:rsidR="00D23F25">
        <w:rPr>
          <w:lang w:eastAsia="en-NZ"/>
        </w:rPr>
        <w:t xml:space="preserve">EDBs </w:t>
      </w:r>
      <w:r w:rsidRPr="00502AA5">
        <w:rPr>
          <w:lang w:eastAsia="en-NZ"/>
        </w:rPr>
        <w:t>carry out a review, with support from ENA, to examine cost allocation, to determine if residential consumers are being allocated a fair share of non-network or shared costs under their existing pricing methodology. The output of review</w:t>
      </w:r>
      <w:r w:rsidR="0063706B">
        <w:rPr>
          <w:lang w:eastAsia="en-NZ"/>
        </w:rPr>
        <w:t>(</w:t>
      </w:r>
      <w:r w:rsidRPr="00502AA5">
        <w:rPr>
          <w:lang w:eastAsia="en-NZ"/>
        </w:rPr>
        <w:t>s</w:t>
      </w:r>
      <w:r w:rsidR="0063706B">
        <w:rPr>
          <w:lang w:eastAsia="en-NZ"/>
        </w:rPr>
        <w:t>)</w:t>
      </w:r>
      <w:r w:rsidRPr="00502AA5">
        <w:rPr>
          <w:lang w:eastAsia="en-NZ"/>
        </w:rPr>
        <w:t xml:space="preserve"> </w:t>
      </w:r>
      <w:r w:rsidR="00B20DB6">
        <w:rPr>
          <w:lang w:eastAsia="en-NZ"/>
        </w:rPr>
        <w:t xml:space="preserve">should </w:t>
      </w:r>
      <w:r w:rsidRPr="00502AA5">
        <w:rPr>
          <w:lang w:eastAsia="en-NZ"/>
        </w:rPr>
        <w:t>be made publicly available.</w:t>
      </w:r>
    </w:p>
    <w:p w14:paraId="595F8831" w14:textId="657056CF" w:rsidR="00010BFE" w:rsidRPr="003B7506" w:rsidRDefault="00840FCA" w:rsidP="003B7506">
      <w:pPr>
        <w:widowControl w:val="0"/>
        <w:spacing w:after="120"/>
        <w:rPr>
          <w:rFonts w:cstheme="minorHAnsi"/>
          <w:b/>
          <w:color w:val="000000" w:themeColor="text1"/>
          <w:lang w:eastAsia="en-NZ"/>
        </w:rPr>
      </w:pPr>
      <w:r w:rsidRPr="006C24D3">
        <w:rPr>
          <w:rFonts w:cstheme="minorHAnsi"/>
          <w:b/>
          <w:color w:val="000000" w:themeColor="text1"/>
          <w:lang w:eastAsia="en-NZ"/>
        </w:rPr>
        <w:t xml:space="preserve">Urban-Rural </w:t>
      </w:r>
      <w:r w:rsidR="0063706B">
        <w:rPr>
          <w:rFonts w:cstheme="minorHAnsi"/>
          <w:b/>
          <w:color w:val="000000" w:themeColor="text1"/>
          <w:lang w:eastAsia="en-NZ"/>
        </w:rPr>
        <w:t>cross subsidy</w:t>
      </w:r>
    </w:p>
    <w:p w14:paraId="2C0FA52F" w14:textId="6D0A60E8" w:rsidR="00CD5519" w:rsidRPr="00502AA5" w:rsidRDefault="007B3930" w:rsidP="00273087">
      <w:pPr>
        <w:pStyle w:val="ListParagraph"/>
        <w:widowControl w:val="0"/>
        <w:numPr>
          <w:ilvl w:val="0"/>
          <w:numId w:val="20"/>
        </w:numPr>
        <w:ind w:left="851" w:hanging="425"/>
        <w:contextualSpacing w:val="0"/>
        <w:rPr>
          <w:rFonts w:cstheme="minorHAnsi"/>
          <w:lang w:eastAsia="en-NZ"/>
        </w:rPr>
      </w:pPr>
      <w:r w:rsidRPr="00502AA5">
        <w:rPr>
          <w:rFonts w:cstheme="minorHAnsi"/>
          <w:lang w:eastAsia="en-NZ"/>
        </w:rPr>
        <w:t xml:space="preserve">ENA disagrees with the assertion </w:t>
      </w:r>
      <w:r w:rsidR="009649CE" w:rsidRPr="00502AA5">
        <w:rPr>
          <w:rFonts w:cstheme="minorHAnsi"/>
          <w:lang w:eastAsia="en-NZ"/>
        </w:rPr>
        <w:t xml:space="preserve">in the issues paper </w:t>
      </w:r>
      <w:r w:rsidRPr="00502AA5">
        <w:rPr>
          <w:rFonts w:cstheme="minorHAnsi"/>
          <w:lang w:eastAsia="en-NZ"/>
        </w:rPr>
        <w:t xml:space="preserve">that </w:t>
      </w:r>
      <w:r w:rsidR="00A26A5C" w:rsidRPr="00502AA5">
        <w:rPr>
          <w:rFonts w:cstheme="minorHAnsi"/>
          <w:lang w:eastAsia="en-NZ"/>
        </w:rPr>
        <w:t xml:space="preserve">the </w:t>
      </w:r>
      <w:r w:rsidR="009649CE" w:rsidRPr="00502AA5">
        <w:rPr>
          <w:rFonts w:cstheme="minorHAnsi"/>
          <w:lang w:eastAsia="en-NZ"/>
        </w:rPr>
        <w:t>urban consumer</w:t>
      </w:r>
      <w:r w:rsidR="00A26A5C" w:rsidRPr="00502AA5">
        <w:rPr>
          <w:rFonts w:cstheme="minorHAnsi"/>
          <w:lang w:eastAsia="en-NZ"/>
        </w:rPr>
        <w:t xml:space="preserve"> subsidy of </w:t>
      </w:r>
      <w:r w:rsidR="009649CE" w:rsidRPr="00502AA5">
        <w:rPr>
          <w:rFonts w:cstheme="minorHAnsi"/>
          <w:lang w:eastAsia="en-NZ"/>
        </w:rPr>
        <w:t>rural consumers “does not stand up to scrutiny</w:t>
      </w:r>
      <w:r w:rsidR="00F25633" w:rsidRPr="00502AA5">
        <w:rPr>
          <w:rFonts w:cstheme="minorHAnsi"/>
          <w:lang w:eastAsia="en-NZ"/>
        </w:rPr>
        <w:t>…</w:t>
      </w:r>
      <w:r w:rsidR="009649CE" w:rsidRPr="00502AA5">
        <w:rPr>
          <w:rFonts w:cstheme="minorHAnsi"/>
          <w:lang w:eastAsia="en-NZ"/>
        </w:rPr>
        <w:t>”</w:t>
      </w:r>
      <w:r w:rsidR="00CD5519" w:rsidRPr="00502AA5">
        <w:rPr>
          <w:rFonts w:cstheme="minorHAnsi"/>
          <w:lang w:eastAsia="en-NZ"/>
        </w:rPr>
        <w:t>.</w:t>
      </w:r>
    </w:p>
    <w:p w14:paraId="2728DFE6" w14:textId="4389D143" w:rsidR="00CD5519" w:rsidRPr="00502AA5" w:rsidRDefault="00F13C2A" w:rsidP="00273087">
      <w:pPr>
        <w:pStyle w:val="ListParagraph"/>
        <w:widowControl w:val="0"/>
        <w:numPr>
          <w:ilvl w:val="0"/>
          <w:numId w:val="20"/>
        </w:numPr>
        <w:ind w:left="851" w:hanging="425"/>
        <w:contextualSpacing w:val="0"/>
        <w:rPr>
          <w:rFonts w:cstheme="minorHAnsi"/>
          <w:lang w:eastAsia="en-NZ"/>
        </w:rPr>
      </w:pPr>
      <w:r w:rsidRPr="00502AA5">
        <w:rPr>
          <w:rFonts w:cstheme="minorHAnsi"/>
          <w:lang w:eastAsia="en-NZ"/>
        </w:rPr>
        <w:t xml:space="preserve">We would note that the above view </w:t>
      </w:r>
      <w:r w:rsidR="00CD5519" w:rsidRPr="00502AA5">
        <w:rPr>
          <w:rFonts w:cstheme="minorHAnsi"/>
          <w:lang w:eastAsia="en-NZ"/>
        </w:rPr>
        <w:t xml:space="preserve">appears to be at odds </w:t>
      </w:r>
      <w:r w:rsidRPr="00502AA5">
        <w:rPr>
          <w:rFonts w:cstheme="minorHAnsi"/>
          <w:lang w:eastAsia="en-NZ"/>
        </w:rPr>
        <w:t xml:space="preserve">with a later statement that </w:t>
      </w:r>
      <w:r w:rsidR="004B6A9B" w:rsidRPr="00502AA5">
        <w:rPr>
          <w:rFonts w:cstheme="minorHAnsi"/>
          <w:lang w:eastAsia="en-NZ"/>
        </w:rPr>
        <w:t>“forcing the use of urban-rural</w:t>
      </w:r>
      <w:r w:rsidR="0059757D" w:rsidRPr="00502AA5">
        <w:rPr>
          <w:rFonts w:cstheme="minorHAnsi"/>
          <w:lang w:eastAsia="en-NZ"/>
        </w:rPr>
        <w:t xml:space="preserve"> pricing would make it even harder for rural low-income consumers to pay their electricity bills</w:t>
      </w:r>
      <w:r w:rsidR="00CD5519" w:rsidRPr="00502AA5">
        <w:rPr>
          <w:rFonts w:cstheme="minorHAnsi"/>
          <w:lang w:eastAsia="en-NZ"/>
        </w:rPr>
        <w:t>”</w:t>
      </w:r>
      <w:r w:rsidR="0059757D" w:rsidRPr="00502AA5">
        <w:rPr>
          <w:rFonts w:cstheme="minorHAnsi"/>
          <w:lang w:eastAsia="en-NZ"/>
        </w:rPr>
        <w:t>.</w:t>
      </w:r>
      <w:r w:rsidR="0070687D" w:rsidRPr="00502AA5">
        <w:rPr>
          <w:rFonts w:cstheme="minorHAnsi"/>
          <w:lang w:eastAsia="en-NZ"/>
        </w:rPr>
        <w:t xml:space="preserve"> </w:t>
      </w:r>
    </w:p>
    <w:p w14:paraId="7A228EEA" w14:textId="4BF4584E" w:rsidR="00806A6F" w:rsidRDefault="006458D8" w:rsidP="00273087">
      <w:pPr>
        <w:pStyle w:val="ListParagraph"/>
        <w:widowControl w:val="0"/>
        <w:numPr>
          <w:ilvl w:val="0"/>
          <w:numId w:val="20"/>
        </w:numPr>
        <w:ind w:left="851" w:hanging="425"/>
        <w:contextualSpacing w:val="0"/>
        <w:rPr>
          <w:rFonts w:cstheme="minorHAnsi"/>
          <w:lang w:eastAsia="en-NZ"/>
        </w:rPr>
      </w:pPr>
      <w:r>
        <w:rPr>
          <w:rFonts w:cstheme="minorHAnsi"/>
          <w:lang w:eastAsia="en-NZ"/>
        </w:rPr>
        <w:t xml:space="preserve">ENA believes it is highly probable </w:t>
      </w:r>
      <w:r w:rsidR="00CD5519" w:rsidRPr="00502AA5">
        <w:rPr>
          <w:rFonts w:cstheme="minorHAnsi"/>
          <w:lang w:eastAsia="en-NZ"/>
        </w:rPr>
        <w:t>that rural consumers are subsidised by urban consumers</w:t>
      </w:r>
      <w:r w:rsidR="00F93F8F">
        <w:rPr>
          <w:rFonts w:cstheme="minorHAnsi"/>
          <w:lang w:eastAsia="en-NZ"/>
        </w:rPr>
        <w:t xml:space="preserve"> in some </w:t>
      </w:r>
      <w:r w:rsidR="00C0022A">
        <w:rPr>
          <w:rFonts w:cstheme="minorHAnsi"/>
          <w:lang w:eastAsia="en-NZ"/>
        </w:rPr>
        <w:t>networks, simply due to a lack of discrimination between these classes of consumer.</w:t>
      </w:r>
      <w:r w:rsidR="00A655CC" w:rsidRPr="00502AA5">
        <w:rPr>
          <w:rFonts w:cstheme="minorHAnsi"/>
          <w:lang w:eastAsia="en-NZ"/>
        </w:rPr>
        <w:t xml:space="preserve"> </w:t>
      </w:r>
      <w:r w:rsidR="00F93F8F">
        <w:rPr>
          <w:rFonts w:cstheme="minorHAnsi"/>
          <w:lang w:eastAsia="en-NZ"/>
        </w:rPr>
        <w:t xml:space="preserve">We would like to see further </w:t>
      </w:r>
      <w:r w:rsidR="00806A6F">
        <w:rPr>
          <w:rFonts w:cstheme="minorHAnsi"/>
          <w:lang w:eastAsia="en-NZ"/>
        </w:rPr>
        <w:t xml:space="preserve">analysis carried out by the </w:t>
      </w:r>
      <w:r w:rsidR="00F66A2B">
        <w:rPr>
          <w:rFonts w:cstheme="minorHAnsi"/>
          <w:lang w:eastAsia="en-NZ"/>
        </w:rPr>
        <w:t>Panel</w:t>
      </w:r>
      <w:r w:rsidR="00806A6F">
        <w:rPr>
          <w:rFonts w:cstheme="minorHAnsi"/>
          <w:lang w:eastAsia="en-NZ"/>
        </w:rPr>
        <w:t xml:space="preserve"> to support </w:t>
      </w:r>
      <w:r w:rsidR="00C0022A">
        <w:rPr>
          <w:rFonts w:cstheme="minorHAnsi"/>
          <w:lang w:eastAsia="en-NZ"/>
        </w:rPr>
        <w:t>its</w:t>
      </w:r>
      <w:r w:rsidR="00806A6F">
        <w:rPr>
          <w:rFonts w:cstheme="minorHAnsi"/>
          <w:lang w:eastAsia="en-NZ"/>
        </w:rPr>
        <w:t xml:space="preserve"> </w:t>
      </w:r>
      <w:r w:rsidR="00806A6F">
        <w:rPr>
          <w:rFonts w:cstheme="minorHAnsi"/>
          <w:lang w:eastAsia="en-NZ"/>
        </w:rPr>
        <w:lastRenderedPageBreak/>
        <w:t>assertion quoted above.</w:t>
      </w:r>
    </w:p>
    <w:p w14:paraId="314E4694" w14:textId="57A92129" w:rsidR="00742906" w:rsidRPr="005E089A" w:rsidRDefault="00A655CC" w:rsidP="009E312C">
      <w:pPr>
        <w:pStyle w:val="ListParagraph"/>
        <w:widowControl w:val="0"/>
        <w:numPr>
          <w:ilvl w:val="0"/>
          <w:numId w:val="20"/>
        </w:numPr>
        <w:ind w:left="851" w:hanging="425"/>
        <w:rPr>
          <w:rFonts w:cstheme="minorHAnsi"/>
          <w:lang w:eastAsia="en-NZ"/>
        </w:rPr>
      </w:pPr>
      <w:r w:rsidRPr="005E089A">
        <w:rPr>
          <w:rFonts w:cstheme="minorHAnsi"/>
          <w:lang w:eastAsia="en-NZ"/>
        </w:rPr>
        <w:t xml:space="preserve">We </w:t>
      </w:r>
      <w:r w:rsidR="0070687D" w:rsidRPr="005E089A">
        <w:rPr>
          <w:rFonts w:cstheme="minorHAnsi"/>
          <w:lang w:eastAsia="en-NZ"/>
        </w:rPr>
        <w:t xml:space="preserve">expect individual ENA members will make submissions on this point, which </w:t>
      </w:r>
      <w:r w:rsidRPr="005E089A">
        <w:rPr>
          <w:rFonts w:cstheme="minorHAnsi"/>
          <w:lang w:eastAsia="en-NZ"/>
        </w:rPr>
        <w:t xml:space="preserve">is very pertinent to </w:t>
      </w:r>
      <w:r w:rsidR="0070687D" w:rsidRPr="005E089A">
        <w:rPr>
          <w:rFonts w:cstheme="minorHAnsi"/>
          <w:lang w:eastAsia="en-NZ"/>
        </w:rPr>
        <w:t>allocation of distribution costs.</w:t>
      </w:r>
      <w:r w:rsidR="005E089A">
        <w:rPr>
          <w:rFonts w:cstheme="minorHAnsi"/>
          <w:lang w:eastAsia="en-NZ"/>
        </w:rPr>
        <w:br/>
      </w:r>
    </w:p>
    <w:p w14:paraId="22F6613A" w14:textId="77777777" w:rsidR="00742906" w:rsidRPr="00F259E4" w:rsidRDefault="00742906" w:rsidP="00EB16E6">
      <w:pPr>
        <w:pStyle w:val="ListParagraph"/>
        <w:widowControl w:val="0"/>
        <w:numPr>
          <w:ilvl w:val="0"/>
          <w:numId w:val="67"/>
        </w:numPr>
        <w:ind w:left="426" w:hanging="426"/>
        <w:rPr>
          <w:rFonts w:cstheme="minorHAnsi"/>
          <w:b/>
          <w:bCs/>
          <w:color w:val="000000" w:themeColor="text1"/>
          <w:lang w:eastAsia="en-NZ"/>
        </w:rPr>
      </w:pPr>
      <w:r w:rsidRPr="00F259E4">
        <w:rPr>
          <w:rFonts w:cstheme="minorHAnsi"/>
          <w:b/>
          <w:bCs/>
          <w:color w:val="000000" w:themeColor="text1"/>
          <w:lang w:eastAsia="en-NZ"/>
        </w:rPr>
        <w:t>What are your views on the assessment of challenges facing electricity distribution?</w:t>
      </w:r>
      <w:r w:rsidRPr="00F259E4">
        <w:rPr>
          <w:rFonts w:cstheme="minorHAnsi"/>
          <w:b/>
          <w:bCs/>
          <w:color w:val="000000" w:themeColor="text1"/>
          <w:lang w:eastAsia="en-NZ"/>
        </w:rPr>
        <w:br/>
      </w:r>
    </w:p>
    <w:p w14:paraId="60FCB028" w14:textId="45EEF9AB" w:rsidR="00742906" w:rsidRPr="00F259E4" w:rsidRDefault="00742906" w:rsidP="00273087">
      <w:pPr>
        <w:pStyle w:val="ListParagraph"/>
        <w:keepNext/>
        <w:numPr>
          <w:ilvl w:val="0"/>
          <w:numId w:val="21"/>
        </w:numPr>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The ENA agrees with the </w:t>
      </w:r>
      <w:r w:rsidR="00F66A2B">
        <w:rPr>
          <w:rFonts w:cstheme="minorHAnsi"/>
          <w:color w:val="000000" w:themeColor="text1"/>
          <w:lang w:eastAsia="en-NZ"/>
        </w:rPr>
        <w:t>Panel</w:t>
      </w:r>
      <w:r w:rsidRPr="00F259E4">
        <w:rPr>
          <w:rFonts w:cstheme="minorHAnsi"/>
          <w:color w:val="000000" w:themeColor="text1"/>
          <w:lang w:eastAsia="en-NZ"/>
        </w:rPr>
        <w:t>’s discussion on capability and skills. ENA members are reporting difficulties finding qualified technicians.</w:t>
      </w:r>
    </w:p>
    <w:p w14:paraId="58FED050" w14:textId="7D63F243" w:rsidR="00742906" w:rsidRPr="00F259E4" w:rsidRDefault="00742906" w:rsidP="00273087">
      <w:pPr>
        <w:pStyle w:val="ListParagraph"/>
        <w:keepNext/>
        <w:numPr>
          <w:ilvl w:val="0"/>
          <w:numId w:val="21"/>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This is concerning because members are expecting to be requiring skills for upgrading assets which were installed in the second half of the </w:t>
      </w:r>
      <w:r w:rsidR="00AB47C8">
        <w:rPr>
          <w:rFonts w:cstheme="minorHAnsi"/>
          <w:color w:val="000000" w:themeColor="text1"/>
          <w:lang w:eastAsia="en-NZ"/>
        </w:rPr>
        <w:t>twentieth</w:t>
      </w:r>
      <w:r w:rsidRPr="00F259E4">
        <w:rPr>
          <w:rFonts w:cstheme="minorHAnsi"/>
          <w:color w:val="000000" w:themeColor="text1"/>
          <w:lang w:eastAsia="en-NZ"/>
        </w:rPr>
        <w:t xml:space="preserve"> century.</w:t>
      </w:r>
    </w:p>
    <w:p w14:paraId="304339D2" w14:textId="0E69FBA9" w:rsidR="004B46B2" w:rsidRPr="005E089A" w:rsidRDefault="00742906" w:rsidP="00273087">
      <w:pPr>
        <w:pStyle w:val="ListParagraph"/>
        <w:keepNext/>
        <w:numPr>
          <w:ilvl w:val="0"/>
          <w:numId w:val="21"/>
        </w:numPr>
        <w:ind w:left="851" w:hanging="425"/>
        <w:rPr>
          <w:rFonts w:cstheme="minorHAnsi"/>
          <w:b/>
          <w:sz w:val="24"/>
        </w:rPr>
      </w:pPr>
      <w:r w:rsidRPr="00F259E4">
        <w:rPr>
          <w:rFonts w:cstheme="minorHAnsi"/>
          <w:color w:val="000000" w:themeColor="text1"/>
          <w:lang w:eastAsia="en-NZ"/>
        </w:rPr>
        <w:t>Network companies also require capability to prepare their distribution assets for an expected upsurge in electricity consumption due to decarbonisation of the economy</w:t>
      </w:r>
      <w:r w:rsidR="00B42053">
        <w:rPr>
          <w:rFonts w:cstheme="minorHAnsi"/>
          <w:color w:val="000000" w:themeColor="text1"/>
          <w:lang w:eastAsia="en-NZ"/>
        </w:rPr>
        <w:t xml:space="preserve"> </w:t>
      </w:r>
      <w:r w:rsidR="00CE094A">
        <w:rPr>
          <w:rFonts w:cstheme="minorHAnsi"/>
          <w:color w:val="000000" w:themeColor="text1"/>
          <w:lang w:eastAsia="en-NZ"/>
        </w:rPr>
        <w:t xml:space="preserve">and </w:t>
      </w:r>
      <w:r w:rsidR="00AE695A">
        <w:rPr>
          <w:rFonts w:cstheme="minorHAnsi"/>
          <w:color w:val="000000" w:themeColor="text1"/>
          <w:lang w:eastAsia="en-NZ"/>
        </w:rPr>
        <w:t>consumer demand for new technologies</w:t>
      </w:r>
      <w:r w:rsidR="00464A48">
        <w:rPr>
          <w:rFonts w:cstheme="minorHAnsi"/>
          <w:color w:val="000000" w:themeColor="text1"/>
          <w:lang w:eastAsia="en-NZ"/>
        </w:rPr>
        <w:t xml:space="preserve"> (</w:t>
      </w:r>
      <w:r w:rsidR="0085381C">
        <w:rPr>
          <w:rFonts w:cstheme="minorHAnsi"/>
          <w:color w:val="000000" w:themeColor="text1"/>
          <w:lang w:eastAsia="en-NZ"/>
        </w:rPr>
        <w:t>e.g.</w:t>
      </w:r>
      <w:r w:rsidR="00464A48">
        <w:rPr>
          <w:rFonts w:cstheme="minorHAnsi"/>
          <w:color w:val="000000" w:themeColor="text1"/>
          <w:lang w:eastAsia="en-NZ"/>
        </w:rPr>
        <w:t xml:space="preserve"> EVs)</w:t>
      </w:r>
      <w:r w:rsidR="00AE695A">
        <w:rPr>
          <w:rFonts w:cstheme="minorHAnsi"/>
          <w:color w:val="000000" w:themeColor="text1"/>
          <w:lang w:eastAsia="en-NZ"/>
        </w:rPr>
        <w:t>.</w:t>
      </w:r>
    </w:p>
    <w:p w14:paraId="12E84D1A" w14:textId="77777777" w:rsidR="005E089A" w:rsidRPr="00293B6B" w:rsidRDefault="005E089A" w:rsidP="005E089A">
      <w:pPr>
        <w:pStyle w:val="ListParagraph"/>
        <w:keepNext/>
        <w:ind w:left="851"/>
        <w:rPr>
          <w:rFonts w:cstheme="minorHAnsi"/>
          <w:b/>
          <w:sz w:val="24"/>
        </w:rPr>
      </w:pPr>
    </w:p>
    <w:p w14:paraId="179792F4" w14:textId="455A3229" w:rsidR="00742906" w:rsidRPr="00F259E4" w:rsidRDefault="00742906" w:rsidP="00293B6B">
      <w:pPr>
        <w:pStyle w:val="Heading2"/>
      </w:pPr>
      <w:r w:rsidRPr="00F259E4">
        <w:t>Summary of feedback on Part four</w:t>
      </w:r>
    </w:p>
    <w:tbl>
      <w:tblPr>
        <w:tblStyle w:val="GridTable4-Accent31"/>
        <w:tblW w:w="0" w:type="auto"/>
        <w:tblLayout w:type="fixed"/>
        <w:tblLook w:val="04A0" w:firstRow="1" w:lastRow="0" w:firstColumn="1" w:lastColumn="0" w:noHBand="0" w:noVBand="1"/>
      </w:tblPr>
      <w:tblGrid>
        <w:gridCol w:w="359"/>
        <w:gridCol w:w="8361"/>
      </w:tblGrid>
      <w:tr w:rsidR="00742906" w:rsidRPr="00F259E4" w14:paraId="237459E6" w14:textId="77777777" w:rsidTr="002B4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shd w:val="clear" w:color="auto" w:fill="A6A6A6" w:themeFill="background1" w:themeFillShade="A6"/>
          </w:tcPr>
          <w:p w14:paraId="2CED4A5F" w14:textId="77777777" w:rsidR="00742906" w:rsidRPr="00F259E4" w:rsidRDefault="00742906" w:rsidP="00EB16E6">
            <w:pPr>
              <w:numPr>
                <w:ilvl w:val="0"/>
                <w:numId w:val="67"/>
              </w:numPr>
              <w:spacing w:after="60"/>
              <w:ind w:left="851" w:hanging="425"/>
              <w:rPr>
                <w:rFonts w:cstheme="minorHAnsi"/>
                <w:color w:val="000000" w:themeColor="text1"/>
                <w:sz w:val="22"/>
                <w:szCs w:val="22"/>
              </w:rPr>
            </w:pPr>
          </w:p>
        </w:tc>
        <w:tc>
          <w:tcPr>
            <w:tcW w:w="8361" w:type="dxa"/>
            <w:shd w:val="clear" w:color="auto" w:fill="A6A6A6" w:themeFill="background1" w:themeFillShade="A6"/>
          </w:tcPr>
          <w:p w14:paraId="264AED0A" w14:textId="77777777" w:rsidR="00742906" w:rsidRPr="00F259E4" w:rsidRDefault="00742906" w:rsidP="008C05EA">
            <w:pPr>
              <w:ind w:left="851" w:hanging="425"/>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F259E4">
              <w:rPr>
                <w:rStyle w:val="Strong"/>
                <w:rFonts w:cstheme="minorHAnsi"/>
                <w:color w:val="000000" w:themeColor="text1"/>
                <w:sz w:val="22"/>
                <w:szCs w:val="22"/>
              </w:rPr>
              <w:t>Please summarise your key points on Part four.</w:t>
            </w:r>
          </w:p>
        </w:tc>
      </w:tr>
    </w:tbl>
    <w:p w14:paraId="41A9880C" w14:textId="392DEE7B" w:rsidR="00742906" w:rsidRDefault="00742906" w:rsidP="00401EF6">
      <w:pPr>
        <w:rPr>
          <w:rFonts w:cstheme="minorHAnsi"/>
          <w:b/>
          <w:sz w:val="24"/>
        </w:rPr>
      </w:pPr>
    </w:p>
    <w:p w14:paraId="3222B5E8" w14:textId="68773755" w:rsidR="002D6827" w:rsidRPr="008079F9" w:rsidRDefault="002D6827" w:rsidP="00273087">
      <w:pPr>
        <w:pStyle w:val="ListParagraph"/>
        <w:numPr>
          <w:ilvl w:val="0"/>
          <w:numId w:val="64"/>
        </w:numPr>
        <w:ind w:left="851" w:hanging="425"/>
        <w:contextualSpacing w:val="0"/>
        <w:rPr>
          <w:rFonts w:cstheme="minorHAnsi"/>
          <w:color w:val="000000" w:themeColor="text1"/>
          <w:lang w:eastAsia="en-NZ"/>
        </w:rPr>
      </w:pPr>
      <w:r w:rsidRPr="008079F9">
        <w:rPr>
          <w:rFonts w:cstheme="minorHAnsi"/>
          <w:color w:val="000000" w:themeColor="text1"/>
          <w:lang w:eastAsia="en-NZ"/>
        </w:rPr>
        <w:t xml:space="preserve">Despite the growing number of small and new-entrant retailers in the </w:t>
      </w:r>
      <w:r w:rsidR="007E1BDD">
        <w:rPr>
          <w:rFonts w:cstheme="minorHAnsi"/>
          <w:color w:val="000000" w:themeColor="text1"/>
          <w:lang w:eastAsia="en-NZ"/>
        </w:rPr>
        <w:t>New Zealand</w:t>
      </w:r>
      <w:r w:rsidRPr="008079F9">
        <w:rPr>
          <w:rFonts w:cstheme="minorHAnsi"/>
          <w:color w:val="000000" w:themeColor="text1"/>
          <w:lang w:eastAsia="en-NZ"/>
        </w:rPr>
        <w:t xml:space="preserve"> electricity retail market, </w:t>
      </w:r>
      <w:r w:rsidR="00FC3B0A" w:rsidRPr="008079F9">
        <w:rPr>
          <w:rFonts w:cstheme="minorHAnsi"/>
          <w:color w:val="000000" w:themeColor="text1"/>
          <w:lang w:eastAsia="en-NZ"/>
        </w:rPr>
        <w:t>collectively these businesses only hold a very small fraction of the retail market.</w:t>
      </w:r>
      <w:r w:rsidR="00FC3B0A" w:rsidRPr="00FC3B0A">
        <w:t xml:space="preserve"> </w:t>
      </w:r>
      <w:r w:rsidR="00FC3B0A" w:rsidRPr="008079F9">
        <w:rPr>
          <w:rFonts w:cstheme="minorHAnsi"/>
          <w:color w:val="000000" w:themeColor="text1"/>
          <w:lang w:eastAsia="en-NZ"/>
        </w:rPr>
        <w:t>Many stakeholders have queried whether there is a level playing field for these new entrants.</w:t>
      </w:r>
    </w:p>
    <w:p w14:paraId="07C74CDF" w14:textId="25E25A91" w:rsidR="00FC3B0A" w:rsidRPr="008079F9" w:rsidRDefault="006F0D8B" w:rsidP="00273087">
      <w:pPr>
        <w:pStyle w:val="ListParagraph"/>
        <w:numPr>
          <w:ilvl w:val="0"/>
          <w:numId w:val="64"/>
        </w:numPr>
        <w:ind w:left="851" w:hanging="425"/>
        <w:contextualSpacing w:val="0"/>
        <w:rPr>
          <w:rFonts w:cstheme="minorHAnsi"/>
          <w:color w:val="000000" w:themeColor="text1"/>
          <w:lang w:eastAsia="en-NZ"/>
        </w:rPr>
      </w:pPr>
      <w:r w:rsidRPr="008079F9">
        <w:rPr>
          <w:rFonts w:cstheme="minorHAnsi"/>
          <w:color w:val="000000" w:themeColor="text1"/>
          <w:lang w:eastAsia="en-NZ"/>
        </w:rPr>
        <w:t xml:space="preserve">ENA agrees with the </w:t>
      </w:r>
      <w:r w:rsidR="00F66A2B">
        <w:rPr>
          <w:rFonts w:cstheme="minorHAnsi"/>
          <w:color w:val="000000" w:themeColor="text1"/>
          <w:lang w:eastAsia="en-NZ"/>
        </w:rPr>
        <w:t>Panel</w:t>
      </w:r>
      <w:r w:rsidRPr="008079F9">
        <w:rPr>
          <w:rFonts w:cstheme="minorHAnsi"/>
          <w:color w:val="000000" w:themeColor="text1"/>
          <w:lang w:eastAsia="en-NZ"/>
        </w:rPr>
        <w:t>’s assessment that there is a ‘two-tier’ electricity retail market operating in N</w:t>
      </w:r>
      <w:r w:rsidR="00A934B8">
        <w:rPr>
          <w:rFonts w:cstheme="minorHAnsi"/>
          <w:color w:val="000000" w:themeColor="text1"/>
          <w:lang w:eastAsia="en-NZ"/>
        </w:rPr>
        <w:t>ew Zealand</w:t>
      </w:r>
      <w:r w:rsidRPr="008079F9">
        <w:rPr>
          <w:rFonts w:cstheme="minorHAnsi"/>
          <w:color w:val="000000" w:themeColor="text1"/>
          <w:lang w:eastAsia="en-NZ"/>
        </w:rPr>
        <w:t>, characterised by the differen</w:t>
      </w:r>
      <w:r w:rsidR="00FE604D" w:rsidRPr="008079F9">
        <w:rPr>
          <w:rFonts w:cstheme="minorHAnsi"/>
          <w:color w:val="000000" w:themeColor="text1"/>
          <w:lang w:eastAsia="en-NZ"/>
        </w:rPr>
        <w:t>ce</w:t>
      </w:r>
      <w:r w:rsidRPr="008079F9">
        <w:rPr>
          <w:rFonts w:cstheme="minorHAnsi"/>
          <w:color w:val="000000" w:themeColor="text1"/>
          <w:lang w:eastAsia="en-NZ"/>
        </w:rPr>
        <w:t xml:space="preserve"> in price paid by </w:t>
      </w:r>
      <w:r w:rsidR="00FE604D" w:rsidRPr="008079F9">
        <w:rPr>
          <w:rFonts w:cstheme="minorHAnsi"/>
          <w:color w:val="000000" w:themeColor="text1"/>
          <w:lang w:eastAsia="en-NZ"/>
        </w:rPr>
        <w:t>consumers who switch and those who do not.</w:t>
      </w:r>
    </w:p>
    <w:p w14:paraId="64CEFF8C" w14:textId="5F4BABAF" w:rsidR="00FE604D" w:rsidRPr="008079F9" w:rsidRDefault="00FE604D" w:rsidP="00273087">
      <w:pPr>
        <w:pStyle w:val="ListParagraph"/>
        <w:numPr>
          <w:ilvl w:val="0"/>
          <w:numId w:val="64"/>
        </w:numPr>
        <w:ind w:left="851" w:hanging="425"/>
        <w:contextualSpacing w:val="0"/>
        <w:rPr>
          <w:rFonts w:cstheme="minorHAnsi"/>
          <w:color w:val="000000" w:themeColor="text1"/>
          <w:lang w:eastAsia="en-NZ"/>
        </w:rPr>
      </w:pPr>
      <w:r w:rsidRPr="008079F9">
        <w:rPr>
          <w:rFonts w:cstheme="minorHAnsi"/>
          <w:color w:val="000000" w:themeColor="text1"/>
          <w:lang w:eastAsia="en-NZ"/>
        </w:rPr>
        <w:t xml:space="preserve">Overseas jurisdictions (notably </w:t>
      </w:r>
      <w:r w:rsidR="007E1BDD">
        <w:rPr>
          <w:rFonts w:cstheme="minorHAnsi"/>
          <w:color w:val="000000" w:themeColor="text1"/>
          <w:lang w:eastAsia="en-NZ"/>
        </w:rPr>
        <w:t>Britain</w:t>
      </w:r>
      <w:r w:rsidRPr="008079F9">
        <w:rPr>
          <w:rFonts w:cstheme="minorHAnsi"/>
          <w:color w:val="000000" w:themeColor="text1"/>
          <w:lang w:eastAsia="en-NZ"/>
        </w:rPr>
        <w:t xml:space="preserve">) have </w:t>
      </w:r>
      <w:r w:rsidR="00BB2725" w:rsidRPr="008079F9">
        <w:rPr>
          <w:rFonts w:cstheme="minorHAnsi"/>
          <w:color w:val="000000" w:themeColor="text1"/>
          <w:lang w:eastAsia="en-NZ"/>
        </w:rPr>
        <w:t>experimented with various interventions to attempt to reduce the two</w:t>
      </w:r>
      <w:r w:rsidR="00F85978">
        <w:rPr>
          <w:rFonts w:cstheme="minorHAnsi"/>
          <w:color w:val="000000" w:themeColor="text1"/>
          <w:lang w:eastAsia="en-NZ"/>
        </w:rPr>
        <w:t>-</w:t>
      </w:r>
      <w:r w:rsidR="00BB2725" w:rsidRPr="008079F9">
        <w:rPr>
          <w:rFonts w:cstheme="minorHAnsi"/>
          <w:color w:val="000000" w:themeColor="text1"/>
          <w:lang w:eastAsia="en-NZ"/>
        </w:rPr>
        <w:t xml:space="preserve">tier electricity market they </w:t>
      </w:r>
      <w:r w:rsidR="009D63F3" w:rsidRPr="008079F9">
        <w:rPr>
          <w:rFonts w:cstheme="minorHAnsi"/>
          <w:color w:val="000000" w:themeColor="text1"/>
          <w:lang w:eastAsia="en-NZ"/>
        </w:rPr>
        <w:t>have.</w:t>
      </w:r>
    </w:p>
    <w:p w14:paraId="32A23C65" w14:textId="2B6887F8" w:rsidR="009D63F3" w:rsidRDefault="00C942D3" w:rsidP="00273087">
      <w:pPr>
        <w:pStyle w:val="ListParagraph"/>
        <w:numPr>
          <w:ilvl w:val="0"/>
          <w:numId w:val="64"/>
        </w:numPr>
        <w:ind w:left="851" w:hanging="425"/>
        <w:contextualSpacing w:val="0"/>
        <w:rPr>
          <w:rFonts w:cstheme="minorHAnsi"/>
          <w:color w:val="000000" w:themeColor="text1"/>
          <w:lang w:eastAsia="en-NZ"/>
        </w:rPr>
      </w:pPr>
      <w:r w:rsidRPr="008079F9">
        <w:rPr>
          <w:rFonts w:cstheme="minorHAnsi"/>
          <w:color w:val="000000" w:themeColor="text1"/>
          <w:lang w:eastAsia="en-NZ"/>
        </w:rPr>
        <w:t xml:space="preserve">There are </w:t>
      </w:r>
      <w:r w:rsidR="00410F61" w:rsidRPr="008079F9">
        <w:rPr>
          <w:rFonts w:cstheme="minorHAnsi"/>
          <w:color w:val="000000" w:themeColor="text1"/>
          <w:lang w:eastAsia="en-NZ"/>
        </w:rPr>
        <w:t xml:space="preserve">indicators that suggest problems with the liquidity and performance of the </w:t>
      </w:r>
      <w:r w:rsidR="00CF1B84">
        <w:rPr>
          <w:rFonts w:cstheme="minorHAnsi"/>
          <w:color w:val="000000" w:themeColor="text1"/>
          <w:lang w:eastAsia="en-NZ"/>
        </w:rPr>
        <w:t>New Zealand</w:t>
      </w:r>
      <w:r w:rsidR="00410F61" w:rsidRPr="008079F9">
        <w:rPr>
          <w:rFonts w:cstheme="minorHAnsi"/>
          <w:color w:val="000000" w:themeColor="text1"/>
          <w:lang w:eastAsia="en-NZ"/>
        </w:rPr>
        <w:t xml:space="preserve"> contracts market.</w:t>
      </w:r>
    </w:p>
    <w:p w14:paraId="074BA26E" w14:textId="43147997" w:rsidR="00F85978" w:rsidRDefault="00F85978"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 xml:space="preserve">The lack of transparency in generator and retailer </w:t>
      </w:r>
      <w:r w:rsidR="00AD591B">
        <w:rPr>
          <w:rFonts w:cstheme="minorHAnsi"/>
          <w:color w:val="000000" w:themeColor="text1"/>
          <w:lang w:eastAsia="en-NZ"/>
        </w:rPr>
        <w:t>profitability</w:t>
      </w:r>
      <w:r>
        <w:rPr>
          <w:rFonts w:cstheme="minorHAnsi"/>
          <w:color w:val="000000" w:themeColor="text1"/>
          <w:lang w:eastAsia="en-NZ"/>
        </w:rPr>
        <w:t xml:space="preserve"> makes it difficult to </w:t>
      </w:r>
      <w:r w:rsidR="00AD591B">
        <w:rPr>
          <w:rFonts w:cstheme="minorHAnsi"/>
          <w:color w:val="000000" w:themeColor="text1"/>
          <w:lang w:eastAsia="en-NZ"/>
        </w:rPr>
        <w:t>assess with any degree of accuracy.</w:t>
      </w:r>
    </w:p>
    <w:p w14:paraId="03896462" w14:textId="45763530" w:rsidR="00AD591B" w:rsidRDefault="00BB05AF"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 xml:space="preserve">ENA agrees with the </w:t>
      </w:r>
      <w:r w:rsidR="00F66A2B">
        <w:rPr>
          <w:rFonts w:cstheme="minorHAnsi"/>
          <w:color w:val="000000" w:themeColor="text1"/>
          <w:lang w:eastAsia="en-NZ"/>
        </w:rPr>
        <w:t>Panel</w:t>
      </w:r>
      <w:r>
        <w:rPr>
          <w:rFonts w:cstheme="minorHAnsi"/>
          <w:color w:val="000000" w:themeColor="text1"/>
          <w:lang w:eastAsia="en-NZ"/>
        </w:rPr>
        <w:t>’s assessment of distributor profits.</w:t>
      </w:r>
    </w:p>
    <w:p w14:paraId="0095EBE2" w14:textId="5A13FD84" w:rsidR="00BB05AF" w:rsidRDefault="006B1F08"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 xml:space="preserve">Distributors are working with the Electricity Authority and other stakeholders (e.g. retailers) to modernise their pricing structures. However, </w:t>
      </w:r>
      <w:r w:rsidR="00932B60">
        <w:rPr>
          <w:rFonts w:cstheme="minorHAnsi"/>
          <w:color w:val="000000" w:themeColor="text1"/>
          <w:lang w:eastAsia="en-NZ"/>
        </w:rPr>
        <w:t xml:space="preserve">this must be handled with care to ensure that the </w:t>
      </w:r>
      <w:r w:rsidR="0093594A">
        <w:rPr>
          <w:rFonts w:cstheme="minorHAnsi"/>
          <w:color w:val="000000" w:themeColor="text1"/>
          <w:lang w:eastAsia="en-NZ"/>
        </w:rPr>
        <w:t xml:space="preserve">impacts on </w:t>
      </w:r>
      <w:r w:rsidR="00932B60">
        <w:rPr>
          <w:rFonts w:cstheme="minorHAnsi"/>
          <w:color w:val="000000" w:themeColor="text1"/>
          <w:lang w:eastAsia="en-NZ"/>
        </w:rPr>
        <w:t xml:space="preserve">ensuing ‘losers’ </w:t>
      </w:r>
      <w:r w:rsidR="0093594A">
        <w:rPr>
          <w:rFonts w:cstheme="minorHAnsi"/>
          <w:color w:val="000000" w:themeColor="text1"/>
          <w:lang w:eastAsia="en-NZ"/>
        </w:rPr>
        <w:t>from</w:t>
      </w:r>
      <w:r w:rsidR="00932B60">
        <w:rPr>
          <w:rFonts w:cstheme="minorHAnsi"/>
          <w:color w:val="000000" w:themeColor="text1"/>
          <w:lang w:eastAsia="en-NZ"/>
        </w:rPr>
        <w:t xml:space="preserve"> any price reform are minimised</w:t>
      </w:r>
      <w:r w:rsidR="0093594A">
        <w:rPr>
          <w:rFonts w:cstheme="minorHAnsi"/>
          <w:color w:val="000000" w:themeColor="text1"/>
          <w:lang w:eastAsia="en-NZ"/>
        </w:rPr>
        <w:t>,</w:t>
      </w:r>
      <w:r w:rsidR="00932B60">
        <w:rPr>
          <w:rFonts w:cstheme="minorHAnsi"/>
          <w:color w:val="000000" w:themeColor="text1"/>
          <w:lang w:eastAsia="en-NZ"/>
        </w:rPr>
        <w:t xml:space="preserve"> and </w:t>
      </w:r>
      <w:r w:rsidR="0093594A">
        <w:rPr>
          <w:rFonts w:cstheme="minorHAnsi"/>
          <w:color w:val="000000" w:themeColor="text1"/>
          <w:lang w:eastAsia="en-NZ"/>
        </w:rPr>
        <w:t xml:space="preserve">consumers are </w:t>
      </w:r>
      <w:r w:rsidR="00932B60">
        <w:rPr>
          <w:rFonts w:cstheme="minorHAnsi"/>
          <w:color w:val="000000" w:themeColor="text1"/>
          <w:lang w:eastAsia="en-NZ"/>
        </w:rPr>
        <w:t>supported appropriately.</w:t>
      </w:r>
    </w:p>
    <w:p w14:paraId="4B3479A7" w14:textId="06297638" w:rsidR="00932B60" w:rsidRDefault="00CD1CDC"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ENA does not have a view on the ‘right’ number of distributors, and we not believe significant gains to efficiency (and therefore cost savings) would be brought about by amalgamation of EDBs.</w:t>
      </w:r>
    </w:p>
    <w:p w14:paraId="0DF67E01" w14:textId="1C958C5F" w:rsidR="00CD1CDC" w:rsidRDefault="005B07C7"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lastRenderedPageBreak/>
        <w:t xml:space="preserve">EDBs collaborate, both through ENA and </w:t>
      </w:r>
      <w:r w:rsidR="005B277B">
        <w:rPr>
          <w:rFonts w:cstheme="minorHAnsi"/>
          <w:color w:val="000000" w:themeColor="text1"/>
          <w:lang w:eastAsia="en-NZ"/>
        </w:rPr>
        <w:t>bilaterally</w:t>
      </w:r>
      <w:r w:rsidR="00D71AEF">
        <w:rPr>
          <w:rFonts w:cstheme="minorHAnsi"/>
          <w:color w:val="000000" w:themeColor="text1"/>
          <w:lang w:eastAsia="en-NZ"/>
        </w:rPr>
        <w:t>, across a number of activities and business areas, where it is sensible to do so.</w:t>
      </w:r>
    </w:p>
    <w:p w14:paraId="63AF9041" w14:textId="4600454F" w:rsidR="00D71AEF" w:rsidRDefault="00D71AEF"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 xml:space="preserve">ENA agrees with the </w:t>
      </w:r>
      <w:r w:rsidR="00F66A2B">
        <w:rPr>
          <w:rFonts w:cstheme="minorHAnsi"/>
          <w:color w:val="000000" w:themeColor="text1"/>
          <w:lang w:eastAsia="en-NZ"/>
        </w:rPr>
        <w:t>Panel</w:t>
      </w:r>
      <w:r>
        <w:rPr>
          <w:rFonts w:cstheme="minorHAnsi"/>
          <w:color w:val="000000" w:themeColor="text1"/>
          <w:lang w:eastAsia="en-NZ"/>
        </w:rPr>
        <w:t xml:space="preserve"> that there may be merit in reviewing </w:t>
      </w:r>
      <w:r w:rsidR="00362CAF">
        <w:rPr>
          <w:rFonts w:cstheme="minorHAnsi"/>
          <w:color w:val="000000" w:themeColor="text1"/>
          <w:lang w:eastAsia="en-NZ"/>
        </w:rPr>
        <w:t>distribution</w:t>
      </w:r>
      <w:r>
        <w:rPr>
          <w:rFonts w:cstheme="minorHAnsi"/>
          <w:color w:val="000000" w:themeColor="text1"/>
          <w:lang w:eastAsia="en-NZ"/>
        </w:rPr>
        <w:t xml:space="preserve"> cost allocation </w:t>
      </w:r>
      <w:r w:rsidR="00362CAF">
        <w:rPr>
          <w:rFonts w:cstheme="minorHAnsi"/>
          <w:color w:val="000000" w:themeColor="text1"/>
          <w:lang w:eastAsia="en-NZ"/>
        </w:rPr>
        <w:t>methods to ensure that the allocation of shared costs between residential and non-residential consumers is fair.</w:t>
      </w:r>
    </w:p>
    <w:p w14:paraId="3E87E18F" w14:textId="0CBC53A0" w:rsidR="00362CAF" w:rsidRDefault="007E02A7"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 xml:space="preserve">ENA nevertheless has some concerns about </w:t>
      </w:r>
      <w:r w:rsidR="002165AF">
        <w:rPr>
          <w:rFonts w:cstheme="minorHAnsi"/>
          <w:color w:val="000000" w:themeColor="text1"/>
          <w:lang w:eastAsia="en-NZ"/>
        </w:rPr>
        <w:t>a</w:t>
      </w:r>
      <w:r>
        <w:rPr>
          <w:rFonts w:cstheme="minorHAnsi"/>
          <w:color w:val="000000" w:themeColor="text1"/>
          <w:lang w:eastAsia="en-NZ"/>
        </w:rPr>
        <w:t xml:space="preserve"> Concept Consulting analysis included in the </w:t>
      </w:r>
      <w:r w:rsidR="002165AF">
        <w:rPr>
          <w:rFonts w:cstheme="minorHAnsi"/>
          <w:color w:val="000000" w:themeColor="text1"/>
          <w:lang w:eastAsia="en-NZ"/>
        </w:rPr>
        <w:t>Panel’s issues paper</w:t>
      </w:r>
      <w:r>
        <w:rPr>
          <w:rFonts w:cstheme="minorHAnsi"/>
          <w:color w:val="000000" w:themeColor="text1"/>
          <w:lang w:eastAsia="en-NZ"/>
        </w:rPr>
        <w:t xml:space="preserve">. </w:t>
      </w:r>
      <w:r w:rsidR="00A576D7">
        <w:rPr>
          <w:rFonts w:cstheme="minorHAnsi"/>
          <w:color w:val="000000" w:themeColor="text1"/>
          <w:lang w:eastAsia="en-NZ"/>
        </w:rPr>
        <w:t xml:space="preserve">The year </w:t>
      </w:r>
      <w:r>
        <w:rPr>
          <w:rFonts w:cstheme="minorHAnsi"/>
          <w:color w:val="000000" w:themeColor="text1"/>
          <w:lang w:eastAsia="en-NZ"/>
        </w:rPr>
        <w:t>2000 would have been a more sensible and comparable starting point.</w:t>
      </w:r>
    </w:p>
    <w:p w14:paraId="5C086D49" w14:textId="40BFA40C" w:rsidR="007E02A7" w:rsidRDefault="003F6FCD" w:rsidP="00273087">
      <w:pPr>
        <w:pStyle w:val="ListParagraph"/>
        <w:numPr>
          <w:ilvl w:val="0"/>
          <w:numId w:val="64"/>
        </w:numPr>
        <w:ind w:left="851" w:hanging="425"/>
        <w:contextualSpacing w:val="0"/>
        <w:rPr>
          <w:rFonts w:cstheme="minorHAnsi"/>
          <w:color w:val="000000" w:themeColor="text1"/>
          <w:lang w:eastAsia="en-NZ"/>
        </w:rPr>
      </w:pPr>
      <w:r>
        <w:rPr>
          <w:rFonts w:cstheme="minorHAnsi"/>
          <w:color w:val="000000" w:themeColor="text1"/>
          <w:lang w:eastAsia="en-NZ"/>
        </w:rPr>
        <w:t xml:space="preserve">ENA believes </w:t>
      </w:r>
      <w:r w:rsidR="00950849">
        <w:rPr>
          <w:rFonts w:cstheme="minorHAnsi"/>
          <w:color w:val="000000" w:themeColor="text1"/>
          <w:lang w:eastAsia="en-NZ"/>
        </w:rPr>
        <w:t xml:space="preserve">that there is more substance to the issue </w:t>
      </w:r>
      <w:r>
        <w:rPr>
          <w:rFonts w:cstheme="minorHAnsi"/>
          <w:color w:val="000000" w:themeColor="text1"/>
          <w:lang w:eastAsia="en-NZ"/>
        </w:rPr>
        <w:t>of urban to rural consumer cross-subsidies</w:t>
      </w:r>
      <w:r w:rsidR="00950849">
        <w:rPr>
          <w:rFonts w:cstheme="minorHAnsi"/>
          <w:color w:val="000000" w:themeColor="text1"/>
          <w:lang w:eastAsia="en-NZ"/>
        </w:rPr>
        <w:t xml:space="preserve"> than the </w:t>
      </w:r>
      <w:r w:rsidR="00F66A2B">
        <w:rPr>
          <w:rFonts w:cstheme="minorHAnsi"/>
          <w:color w:val="000000" w:themeColor="text1"/>
          <w:lang w:eastAsia="en-NZ"/>
        </w:rPr>
        <w:t>Panel</w:t>
      </w:r>
      <w:r w:rsidR="00950849">
        <w:rPr>
          <w:rFonts w:cstheme="minorHAnsi"/>
          <w:color w:val="000000" w:themeColor="text1"/>
          <w:lang w:eastAsia="en-NZ"/>
        </w:rPr>
        <w:t xml:space="preserve"> suggests in </w:t>
      </w:r>
      <w:r w:rsidR="00396B86">
        <w:rPr>
          <w:rFonts w:cstheme="minorHAnsi"/>
          <w:color w:val="000000" w:themeColor="text1"/>
          <w:lang w:eastAsia="en-NZ"/>
        </w:rPr>
        <w:t>its</w:t>
      </w:r>
      <w:r w:rsidR="00950849">
        <w:rPr>
          <w:rFonts w:cstheme="minorHAnsi"/>
          <w:color w:val="000000" w:themeColor="text1"/>
          <w:lang w:eastAsia="en-NZ"/>
        </w:rPr>
        <w:t xml:space="preserve"> report.</w:t>
      </w:r>
    </w:p>
    <w:p w14:paraId="68A253AD" w14:textId="78A2DCF7" w:rsidR="00FC3B0A" w:rsidRPr="0081334C" w:rsidRDefault="00396B86" w:rsidP="00273087">
      <w:pPr>
        <w:pStyle w:val="ListParagraph"/>
        <w:numPr>
          <w:ilvl w:val="0"/>
          <w:numId w:val="64"/>
        </w:numPr>
        <w:spacing w:after="360"/>
        <w:ind w:left="850" w:hanging="425"/>
        <w:contextualSpacing w:val="0"/>
        <w:rPr>
          <w:rFonts w:cstheme="minorHAnsi"/>
          <w:color w:val="000000" w:themeColor="text1"/>
          <w:lang w:eastAsia="en-NZ"/>
        </w:rPr>
      </w:pPr>
      <w:r w:rsidRPr="0081334C">
        <w:rPr>
          <w:rFonts w:cstheme="minorHAnsi"/>
          <w:color w:val="000000" w:themeColor="text1"/>
          <w:lang w:eastAsia="en-NZ"/>
        </w:rPr>
        <w:t xml:space="preserve">ENA and EDBs are aware that in the future EDBs will require a broader set of skills and capabilities within their organisations than has historically been the case. This </w:t>
      </w:r>
      <w:r w:rsidR="0081334C" w:rsidRPr="0081334C">
        <w:rPr>
          <w:rFonts w:cstheme="minorHAnsi"/>
          <w:color w:val="000000" w:themeColor="text1"/>
          <w:lang w:eastAsia="en-NZ"/>
        </w:rPr>
        <w:t>may pose challenges to achieve.</w:t>
      </w:r>
    </w:p>
    <w:p w14:paraId="1FD516BE" w14:textId="77777777" w:rsidR="00742906" w:rsidRPr="00F259E4" w:rsidRDefault="00742906" w:rsidP="00293B6B">
      <w:pPr>
        <w:pStyle w:val="Heading2"/>
      </w:pPr>
      <w:r w:rsidRPr="00F259E4">
        <w:t>Solutions to issues and concerns raised in Part four</w:t>
      </w:r>
    </w:p>
    <w:tbl>
      <w:tblPr>
        <w:tblStyle w:val="GridTable4-Accent31"/>
        <w:tblW w:w="0" w:type="auto"/>
        <w:tblLayout w:type="fixed"/>
        <w:tblLook w:val="04A0" w:firstRow="1" w:lastRow="0" w:firstColumn="1" w:lastColumn="0" w:noHBand="0" w:noVBand="1"/>
      </w:tblPr>
      <w:tblGrid>
        <w:gridCol w:w="359"/>
        <w:gridCol w:w="8361"/>
      </w:tblGrid>
      <w:tr w:rsidR="00742906" w:rsidRPr="00F259E4" w14:paraId="787311B5" w14:textId="77777777" w:rsidTr="002B4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 w:type="dxa"/>
            <w:shd w:val="clear" w:color="auto" w:fill="A6A6A6" w:themeFill="background1" w:themeFillShade="A6"/>
          </w:tcPr>
          <w:p w14:paraId="4CD63D75" w14:textId="77777777" w:rsidR="00742906" w:rsidRPr="00F259E4" w:rsidRDefault="00742906" w:rsidP="00EB16E6">
            <w:pPr>
              <w:numPr>
                <w:ilvl w:val="0"/>
                <w:numId w:val="67"/>
              </w:numPr>
              <w:spacing w:after="60"/>
              <w:jc w:val="both"/>
              <w:rPr>
                <w:rFonts w:cstheme="minorHAnsi"/>
                <w:color w:val="000000" w:themeColor="text1"/>
                <w:sz w:val="22"/>
                <w:szCs w:val="22"/>
              </w:rPr>
            </w:pPr>
          </w:p>
        </w:tc>
        <w:tc>
          <w:tcPr>
            <w:tcW w:w="8361" w:type="dxa"/>
            <w:shd w:val="clear" w:color="auto" w:fill="A6A6A6" w:themeFill="background1" w:themeFillShade="A6"/>
          </w:tcPr>
          <w:p w14:paraId="52008174" w14:textId="77777777" w:rsidR="00742906" w:rsidRPr="00F259E4" w:rsidRDefault="00742906" w:rsidP="002B4686">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F259E4">
              <w:rPr>
                <w:rStyle w:val="Strong"/>
                <w:rFonts w:cstheme="minorHAnsi"/>
                <w:i w:val="0"/>
                <w:color w:val="000000" w:themeColor="text1"/>
                <w:sz w:val="22"/>
                <w:szCs w:val="22"/>
              </w:rPr>
              <w:t>Please</w:t>
            </w:r>
            <w:r w:rsidRPr="00F259E4">
              <w:rPr>
                <w:rStyle w:val="Strong"/>
                <w:rFonts w:cstheme="minorHAnsi"/>
                <w:color w:val="000000" w:themeColor="text1"/>
                <w:sz w:val="22"/>
                <w:szCs w:val="22"/>
              </w:rPr>
              <w:t xml:space="preserve"> </w:t>
            </w:r>
            <w:r w:rsidRPr="00F259E4">
              <w:rPr>
                <w:rStyle w:val="Strong"/>
                <w:rFonts w:cstheme="minorHAnsi"/>
                <w:i w:val="0"/>
                <w:color w:val="000000" w:themeColor="text1"/>
                <w:sz w:val="22"/>
                <w:szCs w:val="22"/>
              </w:rPr>
              <w:t>briefly describe any potential solutions to the issues and concerns raised in Part four.</w:t>
            </w:r>
          </w:p>
        </w:tc>
      </w:tr>
    </w:tbl>
    <w:p w14:paraId="717B5366" w14:textId="4A099FD1" w:rsidR="00742906" w:rsidRDefault="00742906" w:rsidP="00742906">
      <w:pPr>
        <w:rPr>
          <w:rFonts w:cstheme="minorHAnsi"/>
          <w:b/>
          <w:sz w:val="24"/>
        </w:rPr>
      </w:pPr>
    </w:p>
    <w:p w14:paraId="4234491A" w14:textId="47C823AE" w:rsidR="00BC76EF" w:rsidRPr="00A576D7" w:rsidRDefault="00BC76EF" w:rsidP="00273087">
      <w:pPr>
        <w:pStyle w:val="ListParagraph"/>
        <w:numPr>
          <w:ilvl w:val="0"/>
          <w:numId w:val="63"/>
        </w:numPr>
        <w:ind w:left="714" w:hanging="357"/>
        <w:contextualSpacing w:val="0"/>
        <w:rPr>
          <w:rFonts w:cstheme="minorHAnsi"/>
        </w:rPr>
      </w:pPr>
      <w:r w:rsidRPr="00A576D7">
        <w:rPr>
          <w:rFonts w:cstheme="minorHAnsi"/>
        </w:rPr>
        <w:t xml:space="preserve">That the government or the relevant regulator carry out further research and data analysis into the ‘two-tier’ market of consumers, including the characteristics of consumers who switch and don’t switch, and review solution options used successfully overseas. </w:t>
      </w:r>
    </w:p>
    <w:p w14:paraId="640D9D88" w14:textId="43C83657" w:rsidR="00BC76EF" w:rsidRPr="00A576D7" w:rsidRDefault="00BC76EF" w:rsidP="00273087">
      <w:pPr>
        <w:pStyle w:val="ListParagraph"/>
        <w:numPr>
          <w:ilvl w:val="0"/>
          <w:numId w:val="63"/>
        </w:numPr>
        <w:ind w:left="714" w:hanging="357"/>
        <w:contextualSpacing w:val="0"/>
        <w:rPr>
          <w:rFonts w:cstheme="minorHAnsi"/>
        </w:rPr>
      </w:pPr>
      <w:r w:rsidRPr="00A576D7">
        <w:rPr>
          <w:rFonts w:cstheme="minorHAnsi"/>
        </w:rPr>
        <w:t>ENA acknowledges concerns that ‘saves’ and ‘win-backs’ are an impediment to full and effective retail competition and consumer switching. We recommend and support the Electricity Authority’s continuing investigation into the practice.</w:t>
      </w:r>
    </w:p>
    <w:p w14:paraId="31090318" w14:textId="4A9C47F1" w:rsidR="00BC76EF" w:rsidRPr="00A576D7" w:rsidRDefault="00BC76EF" w:rsidP="00273087">
      <w:pPr>
        <w:pStyle w:val="ListParagraph"/>
        <w:numPr>
          <w:ilvl w:val="0"/>
          <w:numId w:val="63"/>
        </w:numPr>
        <w:ind w:left="714" w:hanging="357"/>
        <w:contextualSpacing w:val="0"/>
        <w:rPr>
          <w:rFonts w:cstheme="minorHAnsi"/>
        </w:rPr>
      </w:pPr>
      <w:r w:rsidRPr="00A576D7">
        <w:rPr>
          <w:rFonts w:cstheme="minorHAnsi"/>
        </w:rPr>
        <w:t xml:space="preserve">That the </w:t>
      </w:r>
      <w:r w:rsidR="00F66A2B">
        <w:rPr>
          <w:rFonts w:cstheme="minorHAnsi"/>
        </w:rPr>
        <w:t>Panel</w:t>
      </w:r>
      <w:r w:rsidRPr="00A576D7">
        <w:rPr>
          <w:rFonts w:cstheme="minorHAnsi"/>
        </w:rPr>
        <w:t xml:space="preserve"> recommends resolving long-running concerns about liquidity in the wholesale electricity market and that improving the depth and resilience of the contract market should be given higher priority.</w:t>
      </w:r>
    </w:p>
    <w:p w14:paraId="34298E4E" w14:textId="2D60D701" w:rsidR="00BC76EF" w:rsidRPr="00A576D7" w:rsidRDefault="00BC76EF" w:rsidP="00273087">
      <w:pPr>
        <w:pStyle w:val="ListParagraph"/>
        <w:numPr>
          <w:ilvl w:val="0"/>
          <w:numId w:val="63"/>
        </w:numPr>
        <w:ind w:left="714" w:hanging="357"/>
        <w:contextualSpacing w:val="0"/>
        <w:rPr>
          <w:rFonts w:cstheme="minorHAnsi"/>
        </w:rPr>
      </w:pPr>
      <w:r w:rsidRPr="00A576D7">
        <w:rPr>
          <w:rFonts w:cstheme="minorHAnsi"/>
        </w:rPr>
        <w:t xml:space="preserve">That the </w:t>
      </w:r>
      <w:r w:rsidR="00F66A2B">
        <w:rPr>
          <w:rFonts w:cstheme="minorHAnsi"/>
        </w:rPr>
        <w:t>Panel</w:t>
      </w:r>
      <w:r w:rsidRPr="00A576D7">
        <w:rPr>
          <w:rFonts w:cstheme="minorHAnsi"/>
        </w:rPr>
        <w:t xml:space="preserve"> notes concerns raised about gentailer transfer pricing, and promotes solutions to improve transparency of generator and retailer financial reporting.</w:t>
      </w:r>
    </w:p>
    <w:p w14:paraId="561E8E5A" w14:textId="1BE00CF2" w:rsidR="00BC76EF" w:rsidRPr="00A576D7" w:rsidRDefault="00BC76EF" w:rsidP="00273087">
      <w:pPr>
        <w:pStyle w:val="ListParagraph"/>
        <w:numPr>
          <w:ilvl w:val="0"/>
          <w:numId w:val="63"/>
        </w:numPr>
        <w:ind w:left="714" w:hanging="357"/>
        <w:contextualSpacing w:val="0"/>
        <w:rPr>
          <w:rFonts w:cstheme="minorHAnsi"/>
        </w:rPr>
      </w:pPr>
      <w:r w:rsidRPr="00A576D7">
        <w:rPr>
          <w:rFonts w:cstheme="minorHAnsi"/>
        </w:rPr>
        <w:t>That the Electricity Authority seeks pragmatic solutions that will enable it to complete its review of the transmission pricing methodology as soon as possible.</w:t>
      </w:r>
    </w:p>
    <w:p w14:paraId="02D8D809" w14:textId="46AC8B76" w:rsidR="00BC76EF" w:rsidRDefault="00BC76EF" w:rsidP="00273087">
      <w:pPr>
        <w:pStyle w:val="ListParagraph"/>
        <w:numPr>
          <w:ilvl w:val="0"/>
          <w:numId w:val="63"/>
        </w:numPr>
        <w:spacing w:line="240" w:lineRule="auto"/>
        <w:ind w:left="714" w:hanging="357"/>
        <w:contextualSpacing w:val="0"/>
        <w:jc w:val="both"/>
        <w:rPr>
          <w:rFonts w:cstheme="minorHAnsi"/>
        </w:rPr>
      </w:pPr>
      <w:r w:rsidRPr="00A576D7">
        <w:rPr>
          <w:rFonts w:cstheme="minorHAnsi"/>
        </w:rPr>
        <w:t xml:space="preserve">That the Panel recommends that EDBs commit to introducing revamped distribution pricing options </w:t>
      </w:r>
      <w:r w:rsidR="00DC77DF">
        <w:rPr>
          <w:rFonts w:cstheme="minorHAnsi"/>
        </w:rPr>
        <w:t>as soon as practicable.</w:t>
      </w:r>
      <w:r w:rsidRPr="00A576D7">
        <w:rPr>
          <w:rFonts w:cstheme="minorHAnsi"/>
        </w:rPr>
        <w:t xml:space="preserve"> This will be dependent on:</w:t>
      </w:r>
    </w:p>
    <w:p w14:paraId="25C500FE" w14:textId="4A5D8192" w:rsidR="00013DA6" w:rsidRPr="00013DA6" w:rsidRDefault="00013DA6" w:rsidP="00273087">
      <w:pPr>
        <w:pStyle w:val="ListParagraph"/>
        <w:numPr>
          <w:ilvl w:val="1"/>
          <w:numId w:val="63"/>
        </w:numPr>
        <w:spacing w:line="240" w:lineRule="auto"/>
        <w:jc w:val="both"/>
        <w:rPr>
          <w:rFonts w:cstheme="minorHAnsi"/>
        </w:rPr>
      </w:pPr>
      <w:r w:rsidRPr="00013DA6">
        <w:rPr>
          <w:rFonts w:cstheme="minorHAnsi"/>
        </w:rPr>
        <w:t>The government having revoked the Electricity (Low Fixed Charge Tariff option for Domestic Consumers) Regulations 2004 (refer recommendation 5.3);</w:t>
      </w:r>
    </w:p>
    <w:p w14:paraId="11C3DA4E" w14:textId="4AFDD0B9" w:rsidR="00013DA6" w:rsidRPr="00013DA6" w:rsidRDefault="00013DA6" w:rsidP="00273087">
      <w:pPr>
        <w:pStyle w:val="ListParagraph"/>
        <w:numPr>
          <w:ilvl w:val="1"/>
          <w:numId w:val="63"/>
        </w:numPr>
        <w:spacing w:line="240" w:lineRule="auto"/>
        <w:jc w:val="both"/>
        <w:rPr>
          <w:rFonts w:cstheme="minorHAnsi"/>
        </w:rPr>
      </w:pPr>
      <w:r w:rsidRPr="00013DA6">
        <w:rPr>
          <w:rFonts w:cstheme="minorHAnsi"/>
        </w:rPr>
        <w:t>That the metering equipment (i.e. smart meters) necessary to support these new tariffs is installed, and associated consumption data is available;</w:t>
      </w:r>
    </w:p>
    <w:p w14:paraId="52F4F4D7" w14:textId="5A8C1490" w:rsidR="00013DA6" w:rsidRPr="00A576D7" w:rsidRDefault="00013DA6" w:rsidP="00273087">
      <w:pPr>
        <w:pStyle w:val="ListParagraph"/>
        <w:numPr>
          <w:ilvl w:val="1"/>
          <w:numId w:val="63"/>
        </w:numPr>
        <w:spacing w:line="240" w:lineRule="auto"/>
        <w:contextualSpacing w:val="0"/>
        <w:jc w:val="both"/>
        <w:rPr>
          <w:rFonts w:cstheme="minorHAnsi"/>
        </w:rPr>
      </w:pPr>
      <w:r w:rsidRPr="00013DA6">
        <w:rPr>
          <w:rFonts w:cstheme="minorHAnsi"/>
        </w:rPr>
        <w:t>Effective customer engagement, and retailers supportively passing new distribution charges to their customers.</w:t>
      </w:r>
    </w:p>
    <w:p w14:paraId="7D5D642C" w14:textId="6A9DED50" w:rsidR="00BC76EF" w:rsidRPr="00A576D7" w:rsidRDefault="00EF7571" w:rsidP="00273087">
      <w:pPr>
        <w:pStyle w:val="ListParagraph"/>
        <w:numPr>
          <w:ilvl w:val="0"/>
          <w:numId w:val="63"/>
        </w:numPr>
        <w:ind w:left="714" w:hanging="357"/>
        <w:contextualSpacing w:val="0"/>
        <w:rPr>
          <w:rFonts w:cstheme="minorHAnsi"/>
        </w:rPr>
      </w:pPr>
      <w:r w:rsidRPr="00A576D7">
        <w:rPr>
          <w:rFonts w:cstheme="minorHAnsi"/>
        </w:rPr>
        <w:lastRenderedPageBreak/>
        <w:t>That the Panel recommends an open access regime for smart meter data (i.e. consumption and network data) with standardised terms and conditions, subject to commercial agreement between all parties.</w:t>
      </w:r>
    </w:p>
    <w:p w14:paraId="21AE3F12" w14:textId="58411C92" w:rsidR="00742906" w:rsidRPr="00A576D7" w:rsidRDefault="000433AE" w:rsidP="00273087">
      <w:pPr>
        <w:pStyle w:val="ListParagraph"/>
        <w:numPr>
          <w:ilvl w:val="0"/>
          <w:numId w:val="63"/>
        </w:numPr>
        <w:rPr>
          <w:rFonts w:cstheme="minorHAnsi"/>
        </w:rPr>
      </w:pPr>
      <w:r w:rsidRPr="00A576D7">
        <w:rPr>
          <w:rFonts w:cstheme="minorHAnsi"/>
        </w:rPr>
        <w:t>That the Panel recommends ENA members carry out a review, with support from ENA, to examine cost allocation, to determine if residential consumers are being allocated a fair share of non-network or shared costs under their existing pricing methodology. The output of these reviews will be made publicly available.</w:t>
      </w:r>
      <w:r w:rsidR="00742906" w:rsidRPr="00A576D7">
        <w:rPr>
          <w:rFonts w:cstheme="minorHAnsi"/>
          <w:b/>
        </w:rPr>
        <w:br w:type="page"/>
      </w:r>
    </w:p>
    <w:p w14:paraId="2377067B" w14:textId="77777777" w:rsidR="001D06E3" w:rsidRPr="00D310C4" w:rsidRDefault="001D06E3" w:rsidP="00D310C4">
      <w:pPr>
        <w:pStyle w:val="Heading2"/>
        <w:spacing w:after="480"/>
        <w:rPr>
          <w:sz w:val="30"/>
          <w:szCs w:val="30"/>
        </w:rPr>
      </w:pPr>
      <w:bookmarkStart w:id="3" w:name="_Toc521323373"/>
      <w:r w:rsidRPr="00D310C4">
        <w:rPr>
          <w:sz w:val="30"/>
          <w:szCs w:val="30"/>
        </w:rPr>
        <w:lastRenderedPageBreak/>
        <w:t>Part five: Technology and regulation</w:t>
      </w:r>
      <w:bookmarkEnd w:id="3"/>
      <w:r w:rsidRPr="00D310C4">
        <w:rPr>
          <w:sz w:val="30"/>
          <w:szCs w:val="30"/>
        </w:rPr>
        <w:t xml:space="preserve"> </w:t>
      </w:r>
    </w:p>
    <w:p w14:paraId="4963A321" w14:textId="77777777" w:rsidR="001D06E3" w:rsidRPr="00393E29" w:rsidRDefault="001D06E3" w:rsidP="00D310C4">
      <w:pPr>
        <w:pStyle w:val="Heading2"/>
        <w:rPr>
          <w:color w:val="000000" w:themeColor="text1"/>
          <w:sz w:val="24"/>
          <w:szCs w:val="24"/>
        </w:rPr>
      </w:pPr>
      <w:r w:rsidRPr="00393E29">
        <w:rPr>
          <w:color w:val="000000" w:themeColor="text1"/>
          <w:sz w:val="24"/>
          <w:szCs w:val="24"/>
        </w:rPr>
        <w:t>Technology</w:t>
      </w:r>
    </w:p>
    <w:p w14:paraId="6387ABF5" w14:textId="376E3EC7" w:rsidR="001D06E3" w:rsidRPr="00D33408" w:rsidRDefault="001D06E3" w:rsidP="00273087">
      <w:pPr>
        <w:pStyle w:val="ListParagraph"/>
        <w:numPr>
          <w:ilvl w:val="0"/>
          <w:numId w:val="55"/>
        </w:numPr>
        <w:spacing w:after="240"/>
        <w:ind w:left="425" w:hanging="425"/>
        <w:contextualSpacing w:val="0"/>
        <w:rPr>
          <w:rFonts w:cstheme="minorHAnsi"/>
          <w:i/>
          <w:sz w:val="24"/>
        </w:rPr>
      </w:pPr>
      <w:r w:rsidRPr="00F259E4">
        <w:rPr>
          <w:rStyle w:val="Strong"/>
          <w:rFonts w:cstheme="minorHAnsi"/>
          <w:i w:val="0"/>
          <w:color w:val="000000" w:themeColor="text1"/>
          <w:sz w:val="22"/>
          <w:szCs w:val="22"/>
        </w:rPr>
        <w:t>What are your views on the assessment of the impact of technology on consumers and the electricity industry?</w:t>
      </w:r>
    </w:p>
    <w:p w14:paraId="3E15E354" w14:textId="5AE3706F" w:rsidR="001D06E3" w:rsidRPr="00D33408" w:rsidRDefault="001D06E3" w:rsidP="00273087">
      <w:pPr>
        <w:pStyle w:val="ListParagraph"/>
        <w:numPr>
          <w:ilvl w:val="0"/>
          <w:numId w:val="6"/>
        </w:numPr>
        <w:ind w:left="851" w:hanging="425"/>
        <w:contextualSpacing w:val="0"/>
        <w:rPr>
          <w:rFonts w:cstheme="minorHAnsi"/>
          <w:color w:val="000000" w:themeColor="text1"/>
          <w:lang w:eastAsia="en-NZ"/>
        </w:rPr>
      </w:pPr>
      <w:r w:rsidRPr="00F259E4">
        <w:rPr>
          <w:rFonts w:cstheme="minorHAnsi"/>
          <w:color w:val="000000" w:themeColor="text1"/>
          <w:lang w:eastAsia="en-NZ"/>
        </w:rPr>
        <w:t>ENA broadly agrees with the Panel’s assessment</w:t>
      </w:r>
      <w:r w:rsidR="00506824">
        <w:rPr>
          <w:rStyle w:val="FootnoteReference"/>
          <w:rFonts w:cstheme="minorHAnsi"/>
          <w:color w:val="000000" w:themeColor="text1"/>
          <w:lang w:eastAsia="en-NZ"/>
        </w:rPr>
        <w:footnoteReference w:id="55"/>
      </w:r>
      <w:r w:rsidRPr="00F259E4">
        <w:rPr>
          <w:rFonts w:cstheme="minorHAnsi"/>
          <w:color w:val="000000" w:themeColor="text1"/>
          <w:lang w:eastAsia="en-NZ"/>
        </w:rPr>
        <w:t xml:space="preserve"> of the types of technologies that are likely to be available and adopted by consumers in the medium-to-long term.</w:t>
      </w:r>
    </w:p>
    <w:p w14:paraId="68BED692" w14:textId="5893B157" w:rsidR="001D06E3" w:rsidRPr="00F259E4" w:rsidRDefault="001D06E3" w:rsidP="00273087">
      <w:pPr>
        <w:pStyle w:val="ListParagraph"/>
        <w:numPr>
          <w:ilvl w:val="0"/>
          <w:numId w:val="6"/>
        </w:numPr>
        <w:spacing w:after="60"/>
        <w:ind w:left="851" w:hanging="425"/>
        <w:rPr>
          <w:rFonts w:cstheme="minorHAnsi"/>
          <w:color w:val="000000" w:themeColor="text1"/>
          <w:lang w:eastAsia="en-NZ"/>
        </w:rPr>
      </w:pPr>
      <w:r w:rsidRPr="00F259E4">
        <w:rPr>
          <w:rFonts w:cstheme="minorHAnsi"/>
          <w:color w:val="000000" w:themeColor="text1"/>
          <w:lang w:eastAsia="en-NZ"/>
        </w:rPr>
        <w:t>These technologies, which include solar PV, electric vehicles, charging infrastructure, and domestic and commercial-scale batteries, and the markets that may develop to support them, are mostly still at an early stage of deployment</w:t>
      </w:r>
      <w:r w:rsidR="00875F75">
        <w:rPr>
          <w:rFonts w:cstheme="minorHAnsi"/>
          <w:color w:val="000000" w:themeColor="text1"/>
          <w:lang w:eastAsia="en-NZ"/>
        </w:rPr>
        <w:t xml:space="preserve"> but are advancing rapidly</w:t>
      </w:r>
      <w:r w:rsidRPr="00F259E4">
        <w:rPr>
          <w:rFonts w:cstheme="minorHAnsi"/>
          <w:color w:val="000000" w:themeColor="text1"/>
          <w:lang w:eastAsia="en-NZ"/>
        </w:rPr>
        <w:t xml:space="preserve">. It is vital that EDBs are permitted to invest in testing, trialling and deploying these technologies. EDB involvement will </w:t>
      </w:r>
      <w:r w:rsidR="007579F3">
        <w:rPr>
          <w:rFonts w:cstheme="minorHAnsi"/>
          <w:color w:val="000000" w:themeColor="text1"/>
          <w:lang w:eastAsia="en-NZ"/>
        </w:rPr>
        <w:t>u</w:t>
      </w:r>
      <w:r w:rsidRPr="00F259E4">
        <w:rPr>
          <w:rFonts w:cstheme="minorHAnsi"/>
          <w:color w:val="000000" w:themeColor="text1"/>
          <w:lang w:eastAsia="en-NZ"/>
        </w:rPr>
        <w:t xml:space="preserve">ncover opportunities and benefits for network operation and maintenance, and for consumers. EDBs will enable technology deployment on a wide scale with minimum cost and disruption – including to network reliability – and maximum benefit to consumers. </w:t>
      </w:r>
    </w:p>
    <w:p w14:paraId="7C3A7CB2" w14:textId="77777777" w:rsidR="001D06E3" w:rsidRPr="00F259E4" w:rsidRDefault="001D06E3" w:rsidP="00D310C4">
      <w:pPr>
        <w:ind w:left="567"/>
        <w:rPr>
          <w:rFonts w:cstheme="minorHAnsi"/>
          <w:color w:val="000000" w:themeColor="text1"/>
        </w:rPr>
      </w:pPr>
    </w:p>
    <w:p w14:paraId="17E1AB09" w14:textId="4BF4709E" w:rsidR="001D06E3" w:rsidRPr="00D33408" w:rsidRDefault="001D06E3" w:rsidP="00273087">
      <w:pPr>
        <w:pStyle w:val="ListParagraph"/>
        <w:numPr>
          <w:ilvl w:val="0"/>
          <w:numId w:val="55"/>
        </w:numPr>
        <w:spacing w:after="240"/>
        <w:ind w:left="425" w:hanging="425"/>
        <w:contextualSpacing w:val="0"/>
        <w:rPr>
          <w:rStyle w:val="Strong"/>
          <w:rFonts w:cstheme="minorHAnsi"/>
          <w:b w:val="0"/>
          <w:i w:val="0"/>
          <w:color w:val="000000" w:themeColor="text1"/>
          <w:sz w:val="22"/>
          <w:szCs w:val="22"/>
          <w:lang w:eastAsia="en-NZ"/>
        </w:rPr>
      </w:pPr>
      <w:r w:rsidRPr="00F259E4">
        <w:rPr>
          <w:rStyle w:val="Strong"/>
          <w:rFonts w:cstheme="minorHAnsi"/>
          <w:i w:val="0"/>
          <w:color w:val="000000" w:themeColor="text1"/>
          <w:sz w:val="22"/>
          <w:szCs w:val="22"/>
        </w:rPr>
        <w:t>What are you views on the assessment of the impact of technology on pricing mechanisms and the fairness of prices?</w:t>
      </w:r>
    </w:p>
    <w:p w14:paraId="476B3A48" w14:textId="6A1092C1" w:rsidR="001D06E3" w:rsidRPr="00F259E4" w:rsidRDefault="001D06E3" w:rsidP="00273087">
      <w:pPr>
        <w:pStyle w:val="ListParagraph"/>
        <w:numPr>
          <w:ilvl w:val="0"/>
          <w:numId w:val="56"/>
        </w:numPr>
        <w:spacing w:after="60"/>
        <w:ind w:left="851" w:hanging="425"/>
        <w:rPr>
          <w:rFonts w:cstheme="minorHAnsi"/>
          <w:bCs/>
          <w:color w:val="000000" w:themeColor="text1"/>
          <w:lang w:eastAsia="en-NZ"/>
        </w:rPr>
      </w:pPr>
      <w:r w:rsidRPr="00F259E4">
        <w:rPr>
          <w:rFonts w:cstheme="minorHAnsi"/>
          <w:color w:val="000000" w:themeColor="text1"/>
          <w:lang w:eastAsia="en-NZ"/>
        </w:rPr>
        <w:t xml:space="preserve">ENA agrees with the </w:t>
      </w:r>
      <w:r w:rsidR="00F66A2B">
        <w:rPr>
          <w:rFonts w:cstheme="minorHAnsi"/>
          <w:color w:val="000000" w:themeColor="text1"/>
          <w:lang w:eastAsia="en-NZ"/>
        </w:rPr>
        <w:t>Panel</w:t>
      </w:r>
      <w:r w:rsidRPr="00F259E4">
        <w:rPr>
          <w:rFonts w:cstheme="minorHAnsi"/>
          <w:color w:val="000000" w:themeColor="text1"/>
          <w:lang w:eastAsia="en-NZ"/>
        </w:rPr>
        <w:t xml:space="preserve">’s assessment of the impact of technology and pricing mechanisms and the fairness of prices. EDBs are already in the process of considering how best to reform their </w:t>
      </w:r>
      <w:r w:rsidR="005B2456">
        <w:rPr>
          <w:rFonts w:cstheme="minorHAnsi"/>
          <w:color w:val="000000" w:themeColor="text1"/>
          <w:lang w:eastAsia="en-NZ"/>
        </w:rPr>
        <w:t>price</w:t>
      </w:r>
      <w:r w:rsidRPr="00F259E4">
        <w:rPr>
          <w:rFonts w:cstheme="minorHAnsi"/>
          <w:color w:val="000000" w:themeColor="text1"/>
          <w:lang w:eastAsia="en-NZ"/>
        </w:rPr>
        <w:t>s, not just to achieve cost-reflectivity, but also to meet the needs and expectations of consumers.</w:t>
      </w:r>
    </w:p>
    <w:p w14:paraId="77A7B6F7" w14:textId="77777777" w:rsidR="001D06E3" w:rsidRPr="00F259E4" w:rsidRDefault="001D06E3" w:rsidP="00D310C4">
      <w:pPr>
        <w:spacing w:after="120"/>
        <w:rPr>
          <w:rFonts w:cstheme="minorHAnsi"/>
          <w:bCs/>
          <w:color w:val="000000" w:themeColor="text1"/>
          <w:lang w:eastAsia="en-NZ"/>
        </w:rPr>
      </w:pPr>
    </w:p>
    <w:p w14:paraId="77B415BD" w14:textId="22BE2E81" w:rsidR="001D06E3" w:rsidRPr="00D33408" w:rsidRDefault="001D06E3" w:rsidP="00273087">
      <w:pPr>
        <w:pStyle w:val="ListParagraph"/>
        <w:numPr>
          <w:ilvl w:val="0"/>
          <w:numId w:val="55"/>
        </w:numPr>
        <w:spacing w:after="240"/>
        <w:ind w:left="425" w:hanging="425"/>
        <w:contextualSpacing w:val="0"/>
        <w:rPr>
          <w:rFonts w:cstheme="minorHAnsi"/>
          <w:b/>
          <w:color w:val="000000" w:themeColor="text1"/>
          <w:lang w:eastAsia="en-NZ"/>
        </w:rPr>
      </w:pPr>
      <w:r w:rsidRPr="00F259E4">
        <w:rPr>
          <w:rFonts w:cstheme="minorHAnsi"/>
          <w:b/>
          <w:color w:val="000000" w:themeColor="text1"/>
        </w:rPr>
        <w:t xml:space="preserve">What are your views on how emerging technology will affect security of supply, resilience and prices? </w:t>
      </w:r>
    </w:p>
    <w:p w14:paraId="364DB684" w14:textId="2D02A5F5" w:rsidR="001D06E3" w:rsidRPr="00994B08" w:rsidRDefault="001D06E3" w:rsidP="00273087">
      <w:pPr>
        <w:pStyle w:val="ListParagraph"/>
        <w:numPr>
          <w:ilvl w:val="0"/>
          <w:numId w:val="56"/>
        </w:numPr>
        <w:spacing w:after="60"/>
        <w:ind w:left="851" w:hanging="425"/>
        <w:rPr>
          <w:rFonts w:cstheme="minorHAnsi"/>
          <w:b/>
          <w:color w:val="000000" w:themeColor="text1"/>
          <w:lang w:eastAsia="en-NZ"/>
        </w:rPr>
      </w:pPr>
      <w:r w:rsidRPr="00F259E4">
        <w:rPr>
          <w:rFonts w:cstheme="minorHAnsi"/>
          <w:color w:val="000000" w:themeColor="text1"/>
          <w:lang w:eastAsia="en-NZ"/>
        </w:rPr>
        <w:t>ENA agrees with the Panel’s assessment</w:t>
      </w:r>
      <w:r w:rsidR="00DA57CF">
        <w:rPr>
          <w:rStyle w:val="FootnoteReference"/>
          <w:rFonts w:cstheme="minorHAnsi"/>
          <w:color w:val="000000" w:themeColor="text1"/>
          <w:lang w:eastAsia="en-NZ"/>
        </w:rPr>
        <w:footnoteReference w:id="56"/>
      </w:r>
      <w:r w:rsidRPr="00F259E4">
        <w:rPr>
          <w:rFonts w:cstheme="minorHAnsi"/>
          <w:color w:val="000000" w:themeColor="text1"/>
          <w:lang w:eastAsia="en-NZ"/>
        </w:rPr>
        <w:t xml:space="preserve"> of the potential impacts of emerging technology on security of supply, resilience and prices. In particular, we strongly agree with the Panel’s concluding remark that </w:t>
      </w:r>
      <w:r w:rsidRPr="00F259E4">
        <w:rPr>
          <w:rFonts w:cstheme="minorHAnsi"/>
          <w:i/>
          <w:color w:val="000000" w:themeColor="text1"/>
          <w:lang w:eastAsia="en-NZ"/>
        </w:rPr>
        <w:t>“Careful management of change should ensure no risk to the electricity system’s resilience and ability to perform reliably”</w:t>
      </w:r>
      <w:r w:rsidR="00DE04E3">
        <w:rPr>
          <w:rStyle w:val="FootnoteReference"/>
          <w:rFonts w:cstheme="minorHAnsi"/>
          <w:i/>
          <w:color w:val="000000" w:themeColor="text1"/>
          <w:lang w:eastAsia="en-NZ"/>
        </w:rPr>
        <w:footnoteReference w:id="57"/>
      </w:r>
      <w:r w:rsidRPr="00F259E4">
        <w:rPr>
          <w:rFonts w:cstheme="minorHAnsi"/>
          <w:color w:val="000000" w:themeColor="text1"/>
          <w:lang w:eastAsia="en-NZ"/>
        </w:rPr>
        <w:t>. EDBs are well aware of the risks posed by uncoordinated mass deployment of emerging technologies, and are working to better understand and plan for these impacts.</w:t>
      </w:r>
    </w:p>
    <w:p w14:paraId="18CF519F" w14:textId="3E85DB71" w:rsidR="001D06E3" w:rsidRPr="00D33408" w:rsidRDefault="001D06E3" w:rsidP="00273087">
      <w:pPr>
        <w:pStyle w:val="ListParagraph"/>
        <w:keepNext/>
        <w:numPr>
          <w:ilvl w:val="0"/>
          <w:numId w:val="56"/>
        </w:numPr>
        <w:ind w:left="851" w:hanging="425"/>
        <w:contextualSpacing w:val="0"/>
        <w:rPr>
          <w:rFonts w:cstheme="minorHAnsi"/>
          <w:color w:val="000000" w:themeColor="text1"/>
          <w:lang w:eastAsia="en-NZ"/>
        </w:rPr>
      </w:pPr>
      <w:r w:rsidRPr="00F259E4">
        <w:rPr>
          <w:rFonts w:cstheme="minorHAnsi"/>
          <w:color w:val="000000" w:themeColor="text1"/>
          <w:lang w:eastAsia="en-NZ"/>
        </w:rPr>
        <w:lastRenderedPageBreak/>
        <w:t>Risks could be mitigated by EDBs gaining better visibility of power flows on low voltage networks. This could be achieved through improved access to information generated by smart meters or equivalent technologies (</w:t>
      </w:r>
      <w:r w:rsidR="0085381C">
        <w:rPr>
          <w:rFonts w:cstheme="minorHAnsi"/>
          <w:color w:val="000000" w:themeColor="text1"/>
          <w:lang w:eastAsia="en-NZ"/>
        </w:rPr>
        <w:t>i.e.</w:t>
      </w:r>
      <w:r w:rsidRPr="00F259E4">
        <w:rPr>
          <w:rFonts w:cstheme="minorHAnsi"/>
          <w:color w:val="000000" w:themeColor="text1"/>
          <w:lang w:eastAsia="en-NZ"/>
        </w:rPr>
        <w:t xml:space="preserve"> other forms of network monitoring technologies).</w:t>
      </w:r>
    </w:p>
    <w:p w14:paraId="5D8DE798" w14:textId="6972DCBC" w:rsidR="001D06E3" w:rsidRPr="00D33408" w:rsidRDefault="001D06E3" w:rsidP="00273087">
      <w:pPr>
        <w:pStyle w:val="ListParagraph"/>
        <w:keepNext/>
        <w:numPr>
          <w:ilvl w:val="0"/>
          <w:numId w:val="57"/>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For this reason, it is important that retailers complete the roll out of smart meters in all parts of New Zealand. </w:t>
      </w:r>
      <w:r w:rsidR="00433E0E">
        <w:rPr>
          <w:rFonts w:cstheme="minorHAnsi"/>
          <w:color w:val="000000" w:themeColor="text1"/>
          <w:lang w:eastAsia="en-NZ"/>
        </w:rPr>
        <w:t xml:space="preserve">In some areas (e.g. </w:t>
      </w:r>
      <w:r w:rsidR="00DE43CA">
        <w:rPr>
          <w:rFonts w:cstheme="minorHAnsi"/>
          <w:color w:val="000000" w:themeColor="text1"/>
          <w:lang w:eastAsia="en-NZ"/>
        </w:rPr>
        <w:t xml:space="preserve">Eastland, </w:t>
      </w:r>
      <w:r w:rsidR="00673A68">
        <w:rPr>
          <w:rFonts w:cstheme="minorHAnsi"/>
          <w:color w:val="000000" w:themeColor="text1"/>
          <w:lang w:eastAsia="en-NZ"/>
        </w:rPr>
        <w:t>Westpower, Marlborough Lines)</w:t>
      </w:r>
      <w:r w:rsidRPr="00F259E4">
        <w:rPr>
          <w:rFonts w:cstheme="minorHAnsi"/>
          <w:color w:val="000000" w:themeColor="text1"/>
          <w:lang w:eastAsia="en-NZ"/>
        </w:rPr>
        <w:t xml:space="preserve"> only half of customers have smart meters.</w:t>
      </w:r>
    </w:p>
    <w:p w14:paraId="27FAAC5B" w14:textId="369E0894" w:rsidR="001D06E3" w:rsidRDefault="001D06E3" w:rsidP="00273087">
      <w:pPr>
        <w:pStyle w:val="ListParagraph"/>
        <w:keepNext/>
        <w:numPr>
          <w:ilvl w:val="0"/>
          <w:numId w:val="57"/>
        </w:numPr>
        <w:spacing w:after="60"/>
        <w:ind w:left="851" w:hanging="425"/>
        <w:rPr>
          <w:rFonts w:cstheme="minorHAnsi"/>
          <w:color w:val="000000" w:themeColor="text1"/>
          <w:lang w:eastAsia="en-NZ"/>
        </w:rPr>
      </w:pPr>
      <w:r w:rsidRPr="00F259E4">
        <w:rPr>
          <w:rFonts w:cstheme="minorHAnsi"/>
          <w:color w:val="000000" w:themeColor="text1"/>
          <w:lang w:eastAsia="en-NZ"/>
        </w:rPr>
        <w:t>It is important to note that distribution pricing reform discussed in question 27 will be an important factor in ensuring that networks are used as efficiently as possible (</w:t>
      </w:r>
      <w:r w:rsidR="0085381C">
        <w:rPr>
          <w:rFonts w:cstheme="minorHAnsi"/>
          <w:color w:val="000000" w:themeColor="text1"/>
          <w:lang w:eastAsia="en-NZ"/>
        </w:rPr>
        <w:t>e.g.</w:t>
      </w:r>
      <w:r w:rsidRPr="00F259E4">
        <w:rPr>
          <w:rFonts w:cstheme="minorHAnsi"/>
          <w:color w:val="000000" w:themeColor="text1"/>
          <w:lang w:eastAsia="en-NZ"/>
        </w:rPr>
        <w:t xml:space="preserve"> using pricing to encourage load shifting), which will help guard against network over-capacity and associated reliability issues.</w:t>
      </w:r>
    </w:p>
    <w:p w14:paraId="25B0DE87" w14:textId="77777777" w:rsidR="001D06E3" w:rsidRPr="00F259E4" w:rsidRDefault="001D06E3" w:rsidP="001D06E3">
      <w:pPr>
        <w:pStyle w:val="ListParagraph"/>
        <w:rPr>
          <w:rFonts w:cstheme="minorHAnsi"/>
          <w:color w:val="000000" w:themeColor="text1"/>
          <w:lang w:eastAsia="en-NZ"/>
        </w:rPr>
      </w:pPr>
    </w:p>
    <w:p w14:paraId="19D96982" w14:textId="0C77CDC1" w:rsidR="00567775" w:rsidRPr="004B46B2" w:rsidRDefault="001D06E3" w:rsidP="004B46B2">
      <w:pPr>
        <w:pStyle w:val="Heading2"/>
        <w:spacing w:after="360"/>
        <w:rPr>
          <w:lang w:eastAsia="en-NZ"/>
        </w:rPr>
      </w:pPr>
      <w:r w:rsidRPr="00FC7C83">
        <w:rPr>
          <w:lang w:eastAsia="en-NZ"/>
        </w:rPr>
        <w:t>Recommendation</w:t>
      </w:r>
      <w:r w:rsidR="00567775">
        <w:rPr>
          <w:lang w:eastAsia="en-NZ"/>
        </w:rPr>
        <w:t xml:space="preserve"> 5.1</w:t>
      </w:r>
      <w:r w:rsidR="00FC7C83" w:rsidRPr="00FC7C83">
        <w:rPr>
          <w:lang w:eastAsia="en-NZ"/>
        </w:rPr>
        <w:t>:</w:t>
      </w:r>
      <w:r w:rsidR="004B46B2">
        <w:rPr>
          <w:lang w:eastAsia="en-NZ"/>
        </w:rPr>
        <w:t xml:space="preserve"> </w:t>
      </w:r>
      <w:r w:rsidR="00025544">
        <w:t xml:space="preserve">That </w:t>
      </w:r>
      <w:r w:rsidR="00567775" w:rsidRPr="00567775">
        <w:t xml:space="preserve">the </w:t>
      </w:r>
      <w:r w:rsidR="00F66A2B">
        <w:t>Panel</w:t>
      </w:r>
      <w:r w:rsidR="00567775" w:rsidRPr="00567775">
        <w:t xml:space="preserve"> strongly encourage</w:t>
      </w:r>
      <w:r w:rsidR="00025544">
        <w:t>s</w:t>
      </w:r>
      <w:r w:rsidR="00567775" w:rsidRPr="00567775">
        <w:t xml:space="preserve"> deployment of </w:t>
      </w:r>
      <w:r w:rsidR="00504AAB">
        <w:t xml:space="preserve">smart </w:t>
      </w:r>
      <w:r w:rsidR="00826CA5">
        <w:t xml:space="preserve">meters </w:t>
      </w:r>
      <w:r w:rsidR="00567775" w:rsidRPr="00567775">
        <w:t>to as many N</w:t>
      </w:r>
      <w:r w:rsidR="00D90B2A">
        <w:t xml:space="preserve">ew Zealand </w:t>
      </w:r>
      <w:r w:rsidR="00567775" w:rsidRPr="00567775">
        <w:t xml:space="preserve">consumers as practicable. </w:t>
      </w:r>
    </w:p>
    <w:p w14:paraId="409A6D7E" w14:textId="49E60EFA" w:rsidR="001D06E3" w:rsidRPr="00F259E4" w:rsidRDefault="001D06E3" w:rsidP="001D06E3">
      <w:pPr>
        <w:rPr>
          <w:rFonts w:cstheme="minorHAnsi"/>
          <w:b/>
          <w:sz w:val="24"/>
        </w:rPr>
      </w:pPr>
      <w:r w:rsidRPr="00F259E4">
        <w:rPr>
          <w:rFonts w:cstheme="minorHAnsi"/>
          <w:b/>
          <w:sz w:val="24"/>
        </w:rPr>
        <w:t xml:space="preserve">Regulation </w:t>
      </w:r>
    </w:p>
    <w:p w14:paraId="7F6764B8" w14:textId="0B8F9DA9" w:rsidR="001D06E3" w:rsidRPr="00F259E4" w:rsidRDefault="001D06E3" w:rsidP="00273087">
      <w:pPr>
        <w:pStyle w:val="ListParagraph"/>
        <w:numPr>
          <w:ilvl w:val="0"/>
          <w:numId w:val="55"/>
        </w:numPr>
        <w:spacing w:after="240"/>
        <w:ind w:left="425" w:hanging="425"/>
        <w:contextualSpacing w:val="0"/>
        <w:rPr>
          <w:rFonts w:cstheme="minorHAnsi"/>
          <w:b/>
        </w:rPr>
      </w:pPr>
      <w:r w:rsidRPr="00F259E4">
        <w:rPr>
          <w:rFonts w:cstheme="minorHAnsi"/>
          <w:b/>
        </w:rPr>
        <w:t>What are your views on the assessment of the place of environmental sustainability and fai</w:t>
      </w:r>
      <w:r w:rsidR="00463B76">
        <w:rPr>
          <w:rFonts w:cstheme="minorHAnsi"/>
          <w:b/>
        </w:rPr>
        <w:t>rness in the regulatory system?</w:t>
      </w:r>
    </w:p>
    <w:p w14:paraId="76B3D3B5" w14:textId="6EE4BAB3" w:rsidR="001D06E3" w:rsidRPr="00D33408" w:rsidRDefault="001D06E3" w:rsidP="00273087">
      <w:pPr>
        <w:pStyle w:val="ListParagraph"/>
        <w:numPr>
          <w:ilvl w:val="0"/>
          <w:numId w:val="22"/>
        </w:numPr>
        <w:ind w:left="851" w:hanging="425"/>
        <w:contextualSpacing w:val="0"/>
        <w:rPr>
          <w:rFonts w:cstheme="minorHAnsi"/>
          <w:color w:val="000000" w:themeColor="text1"/>
          <w:lang w:eastAsia="en-NZ"/>
        </w:rPr>
      </w:pPr>
      <w:r w:rsidRPr="00F259E4">
        <w:rPr>
          <w:rFonts w:cstheme="minorHAnsi"/>
          <w:color w:val="000000" w:themeColor="text1"/>
          <w:lang w:eastAsia="en-NZ"/>
        </w:rPr>
        <w:t>Electricity is an important way of increasing the sustainability of the broader energy sector and EDBs are supportive of government’s efforts to encourage electrification of transport through greater use of fully-electric cars and busses.</w:t>
      </w:r>
    </w:p>
    <w:p w14:paraId="6BCDC621" w14:textId="0D3A628C" w:rsidR="001D06E3" w:rsidRPr="00F259E4" w:rsidRDefault="001D06E3" w:rsidP="00273087">
      <w:pPr>
        <w:pStyle w:val="ListParagraph"/>
        <w:numPr>
          <w:ilvl w:val="0"/>
          <w:numId w:val="22"/>
        </w:numPr>
        <w:ind w:left="851" w:hanging="425"/>
        <w:contextualSpacing w:val="0"/>
        <w:rPr>
          <w:rFonts w:cstheme="minorHAnsi"/>
          <w:color w:val="000000" w:themeColor="text1"/>
          <w:lang w:eastAsia="en-NZ"/>
        </w:rPr>
      </w:pPr>
      <w:r w:rsidRPr="00F259E4">
        <w:rPr>
          <w:rFonts w:cstheme="minorHAnsi"/>
          <w:color w:val="000000" w:themeColor="text1"/>
          <w:lang w:eastAsia="en-NZ"/>
        </w:rPr>
        <w:t>ENA agrees with the Productivity Commission</w:t>
      </w:r>
      <w:r w:rsidR="00C05628">
        <w:rPr>
          <w:rStyle w:val="FootnoteReference"/>
          <w:rFonts w:cstheme="minorHAnsi"/>
          <w:color w:val="000000" w:themeColor="text1"/>
          <w:lang w:eastAsia="en-NZ"/>
        </w:rPr>
        <w:footnoteReference w:id="58"/>
      </w:r>
      <w:r w:rsidRPr="00F259E4">
        <w:rPr>
          <w:rFonts w:cstheme="minorHAnsi"/>
          <w:color w:val="000000" w:themeColor="text1"/>
          <w:lang w:eastAsia="en-NZ"/>
        </w:rPr>
        <w:t xml:space="preserve"> (also referenced in the Panel’s report), that introducing additional costs to the electricity industry, with the aim to increase efforts to decarbonise the sector, may have the unintended and undesirable effect of hindering efforts to decarbonis</w:t>
      </w:r>
      <w:r w:rsidR="00D33408">
        <w:rPr>
          <w:rFonts w:cstheme="minorHAnsi"/>
          <w:color w:val="000000" w:themeColor="text1"/>
          <w:lang w:eastAsia="en-NZ"/>
        </w:rPr>
        <w:t xml:space="preserve">e other parts of the economy.  </w:t>
      </w:r>
    </w:p>
    <w:p w14:paraId="5036D819" w14:textId="46E2895A" w:rsidR="001D06E3" w:rsidRPr="00F259E4" w:rsidRDefault="001D06E3" w:rsidP="00273087">
      <w:pPr>
        <w:pStyle w:val="ListParagraph"/>
        <w:numPr>
          <w:ilvl w:val="0"/>
          <w:numId w:val="22"/>
        </w:numPr>
        <w:spacing w:after="360"/>
        <w:ind w:left="850" w:hanging="425"/>
        <w:contextualSpacing w:val="0"/>
        <w:rPr>
          <w:rFonts w:cstheme="minorHAnsi"/>
          <w:color w:val="000000" w:themeColor="text1"/>
          <w:lang w:eastAsia="en-NZ"/>
        </w:rPr>
      </w:pPr>
      <w:bookmarkStart w:id="4" w:name="_Hlk526923731"/>
      <w:r w:rsidRPr="00F259E4">
        <w:rPr>
          <w:rFonts w:cstheme="minorHAnsi"/>
          <w:color w:val="000000" w:themeColor="text1"/>
          <w:lang w:eastAsia="en-NZ"/>
        </w:rPr>
        <w:t xml:space="preserve">ENA believes that the New Zealand Emissions Trading Scheme is the appropriate way for the </w:t>
      </w:r>
      <w:r w:rsidR="00C05628">
        <w:rPr>
          <w:rFonts w:cstheme="minorHAnsi"/>
          <w:color w:val="000000" w:themeColor="text1"/>
          <w:lang w:eastAsia="en-NZ"/>
        </w:rPr>
        <w:t>g</w:t>
      </w:r>
      <w:r w:rsidRPr="00F259E4">
        <w:rPr>
          <w:rFonts w:cstheme="minorHAnsi"/>
          <w:color w:val="000000" w:themeColor="text1"/>
          <w:lang w:eastAsia="en-NZ"/>
        </w:rPr>
        <w:t xml:space="preserve">overnment to encourage economy-wide decarbonisation at the lowest possible costs, and environmental sustainability objectives should not be a feature of the </w:t>
      </w:r>
      <w:r w:rsidR="00964103">
        <w:rPr>
          <w:rFonts w:cstheme="minorHAnsi"/>
          <w:color w:val="000000" w:themeColor="text1"/>
          <w:lang w:eastAsia="en-NZ"/>
        </w:rPr>
        <w:t>New Zealand</w:t>
      </w:r>
      <w:r w:rsidRPr="00F259E4">
        <w:rPr>
          <w:rFonts w:cstheme="minorHAnsi"/>
          <w:color w:val="000000" w:themeColor="text1"/>
          <w:lang w:eastAsia="en-NZ"/>
        </w:rPr>
        <w:t xml:space="preserve"> electricity regulatory framework, except through the ability for EDBs to participate in seeding markets and carrying out trials/</w:t>
      </w:r>
      <w:r w:rsidR="00964103">
        <w:rPr>
          <w:rFonts w:cstheme="minorHAnsi"/>
          <w:color w:val="000000" w:themeColor="text1"/>
          <w:lang w:eastAsia="en-NZ"/>
        </w:rPr>
        <w:t>research and development</w:t>
      </w:r>
      <w:r w:rsidRPr="00F259E4">
        <w:rPr>
          <w:rFonts w:cstheme="minorHAnsi"/>
          <w:color w:val="000000" w:themeColor="text1"/>
          <w:lang w:eastAsia="en-NZ"/>
        </w:rPr>
        <w:t xml:space="preserve"> to enable emerging technology for the benefit of consumers.</w:t>
      </w:r>
    </w:p>
    <w:bookmarkEnd w:id="4"/>
    <w:p w14:paraId="64DD788C" w14:textId="1FF226DD" w:rsidR="001D06E3" w:rsidRPr="004B46B2" w:rsidRDefault="001D06E3" w:rsidP="004B46B2">
      <w:pPr>
        <w:pStyle w:val="Heading2"/>
        <w:rPr>
          <w:lang w:eastAsia="en-NZ"/>
        </w:rPr>
      </w:pPr>
      <w:r w:rsidRPr="00F259E4">
        <w:rPr>
          <w:lang w:eastAsia="en-NZ"/>
        </w:rPr>
        <w:lastRenderedPageBreak/>
        <w:t>Recommendation</w:t>
      </w:r>
      <w:r w:rsidR="008F3D53">
        <w:rPr>
          <w:lang w:eastAsia="en-NZ"/>
        </w:rPr>
        <w:t xml:space="preserve"> </w:t>
      </w:r>
      <w:r w:rsidR="009F5E22">
        <w:rPr>
          <w:lang w:eastAsia="en-NZ"/>
        </w:rPr>
        <w:t>5.2</w:t>
      </w:r>
      <w:r w:rsidRPr="00F259E4">
        <w:rPr>
          <w:lang w:eastAsia="en-NZ"/>
        </w:rPr>
        <w:t>:</w:t>
      </w:r>
      <w:r w:rsidR="004B46B2">
        <w:rPr>
          <w:lang w:eastAsia="en-NZ"/>
        </w:rPr>
        <w:t xml:space="preserve"> </w:t>
      </w:r>
      <w:r w:rsidRPr="00F259E4">
        <w:rPr>
          <w:lang w:eastAsia="en-NZ"/>
        </w:rPr>
        <w:t xml:space="preserve">That the </w:t>
      </w:r>
      <w:r w:rsidR="00F66A2B">
        <w:rPr>
          <w:lang w:eastAsia="en-NZ"/>
        </w:rPr>
        <w:t>Panel</w:t>
      </w:r>
      <w:r w:rsidRPr="00F259E4">
        <w:rPr>
          <w:lang w:eastAsia="en-NZ"/>
        </w:rPr>
        <w:t xml:space="preserve"> recommends the N</w:t>
      </w:r>
      <w:r w:rsidR="009F5E22">
        <w:rPr>
          <w:lang w:eastAsia="en-NZ"/>
        </w:rPr>
        <w:t xml:space="preserve">ew Zealand </w:t>
      </w:r>
      <w:r w:rsidRPr="00F259E4">
        <w:rPr>
          <w:lang w:eastAsia="en-NZ"/>
        </w:rPr>
        <w:t xml:space="preserve">Emissions Trading Scheme </w:t>
      </w:r>
      <w:r w:rsidR="009F5E22">
        <w:rPr>
          <w:lang w:eastAsia="en-NZ"/>
        </w:rPr>
        <w:t>i</w:t>
      </w:r>
      <w:r w:rsidRPr="00F259E4">
        <w:rPr>
          <w:lang w:eastAsia="en-NZ"/>
        </w:rPr>
        <w:t xml:space="preserve">s the appropriate way for the </w:t>
      </w:r>
      <w:r w:rsidR="00A654A5">
        <w:rPr>
          <w:lang w:eastAsia="en-NZ"/>
        </w:rPr>
        <w:t>g</w:t>
      </w:r>
      <w:r w:rsidRPr="00F259E4">
        <w:rPr>
          <w:lang w:eastAsia="en-NZ"/>
        </w:rPr>
        <w:t xml:space="preserve">overnment to encourage economy-wide decarbonisation at the lowest possible costs. </w:t>
      </w:r>
    </w:p>
    <w:p w14:paraId="1F66820E" w14:textId="77777777" w:rsidR="001D06E3" w:rsidRPr="00F259E4" w:rsidRDefault="001D06E3" w:rsidP="00273087">
      <w:pPr>
        <w:pStyle w:val="ListParagraph"/>
        <w:numPr>
          <w:ilvl w:val="0"/>
          <w:numId w:val="55"/>
        </w:numPr>
        <w:spacing w:after="240"/>
        <w:ind w:left="425" w:hanging="425"/>
        <w:contextualSpacing w:val="0"/>
        <w:jc w:val="both"/>
        <w:rPr>
          <w:rFonts w:cstheme="minorHAnsi"/>
          <w:b/>
          <w:color w:val="000000" w:themeColor="text1"/>
        </w:rPr>
      </w:pPr>
      <w:r w:rsidRPr="00F259E4">
        <w:rPr>
          <w:rFonts w:cstheme="minorHAnsi"/>
          <w:b/>
          <w:color w:val="000000" w:themeColor="text1"/>
        </w:rPr>
        <w:t xml:space="preserve"> What are your views on the assessment of low fixed charge tariff regulations?</w:t>
      </w:r>
    </w:p>
    <w:p w14:paraId="7870EF41" w14:textId="647949AE" w:rsidR="001D06E3" w:rsidRPr="00463B76" w:rsidRDefault="001D06E3" w:rsidP="00273087">
      <w:pPr>
        <w:pStyle w:val="ListParagraph"/>
        <w:numPr>
          <w:ilvl w:val="0"/>
          <w:numId w:val="23"/>
        </w:numPr>
        <w:ind w:left="851" w:hanging="425"/>
        <w:contextualSpacing w:val="0"/>
        <w:jc w:val="both"/>
        <w:rPr>
          <w:rFonts w:cstheme="minorHAnsi"/>
          <w:color w:val="000000" w:themeColor="text1"/>
          <w:lang w:eastAsia="en-NZ"/>
        </w:rPr>
      </w:pPr>
      <w:r w:rsidRPr="00F259E4">
        <w:rPr>
          <w:rFonts w:cstheme="minorHAnsi"/>
          <w:color w:val="000000" w:themeColor="text1"/>
          <w:lang w:eastAsia="en-NZ"/>
        </w:rPr>
        <w:t xml:space="preserve">The ENA has long-established position on the low fixed charge tariff regulations. </w:t>
      </w:r>
    </w:p>
    <w:p w14:paraId="119ED614" w14:textId="125A2CE1" w:rsidR="001D06E3" w:rsidRPr="00463B76" w:rsidRDefault="001D06E3" w:rsidP="00273087">
      <w:pPr>
        <w:pStyle w:val="ListParagraph"/>
        <w:numPr>
          <w:ilvl w:val="0"/>
          <w:numId w:val="23"/>
        </w:numPr>
        <w:ind w:left="851" w:hanging="425"/>
        <w:contextualSpacing w:val="0"/>
        <w:rPr>
          <w:rStyle w:val="Hyperlink"/>
          <w:rFonts w:cstheme="minorHAnsi"/>
          <w:color w:val="000000" w:themeColor="text1"/>
          <w:u w:val="none"/>
          <w:lang w:eastAsia="en-NZ"/>
        </w:rPr>
      </w:pPr>
      <w:r w:rsidRPr="00F259E4">
        <w:rPr>
          <w:rFonts w:cstheme="minorHAnsi"/>
          <w:color w:val="000000" w:themeColor="text1"/>
          <w:lang w:eastAsia="en-NZ"/>
        </w:rPr>
        <w:t>In the interests of brevity, the views of ENA and the Electricity Retailers Association of</w:t>
      </w:r>
      <w:r w:rsidR="00D310C4">
        <w:rPr>
          <w:rFonts w:cstheme="minorHAnsi"/>
          <w:color w:val="000000" w:themeColor="text1"/>
          <w:lang w:eastAsia="en-NZ"/>
        </w:rPr>
        <w:br/>
      </w:r>
      <w:r w:rsidRPr="00F259E4">
        <w:rPr>
          <w:rFonts w:cstheme="minorHAnsi"/>
          <w:color w:val="000000" w:themeColor="text1"/>
          <w:lang w:eastAsia="en-NZ"/>
        </w:rPr>
        <w:t xml:space="preserve">New Zealand are summarised in a document available </w:t>
      </w:r>
      <w:hyperlink r:id="rId40" w:history="1">
        <w:r w:rsidRPr="00F259E4">
          <w:rPr>
            <w:rStyle w:val="Hyperlink"/>
            <w:rFonts w:cstheme="minorHAnsi"/>
            <w:lang w:eastAsia="en-NZ"/>
          </w:rPr>
          <w:t>here.</w:t>
        </w:r>
      </w:hyperlink>
    </w:p>
    <w:p w14:paraId="06846BA4" w14:textId="22C3B7A0" w:rsidR="001D06E3" w:rsidRPr="00463B76" w:rsidRDefault="001D06E3" w:rsidP="00273087">
      <w:pPr>
        <w:pStyle w:val="ListParagraph"/>
        <w:numPr>
          <w:ilvl w:val="0"/>
          <w:numId w:val="23"/>
        </w:numPr>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ENA agrees with the </w:t>
      </w:r>
      <w:r w:rsidR="003064A1">
        <w:rPr>
          <w:rFonts w:cstheme="minorHAnsi"/>
          <w:color w:val="000000" w:themeColor="text1"/>
          <w:lang w:eastAsia="en-NZ"/>
        </w:rPr>
        <w:t>Panel’s issues paper</w:t>
      </w:r>
      <w:r w:rsidRPr="00F259E4">
        <w:rPr>
          <w:rFonts w:cstheme="minorHAnsi"/>
          <w:color w:val="000000" w:themeColor="text1"/>
          <w:lang w:eastAsia="en-NZ"/>
        </w:rPr>
        <w:t xml:space="preserve"> that the regulations should be revoked, and we would add that this should be a matter of urgency. In addition to creating an unfair cross-subsidy, the regulations severely inhibit distribution companies and retailers from developing and offering new and innovative </w:t>
      </w:r>
      <w:r w:rsidR="005B2456">
        <w:rPr>
          <w:rFonts w:cstheme="minorHAnsi"/>
          <w:color w:val="000000" w:themeColor="text1"/>
          <w:lang w:eastAsia="en-NZ"/>
        </w:rPr>
        <w:t>price</w:t>
      </w:r>
      <w:r w:rsidRPr="00F259E4">
        <w:rPr>
          <w:rFonts w:cstheme="minorHAnsi"/>
          <w:color w:val="000000" w:themeColor="text1"/>
          <w:lang w:eastAsia="en-NZ"/>
        </w:rPr>
        <w:t>s for consumers. Over the longer term, and particularly with new consumer-level technologies coming onstream, the regulations will restrict consumers’ ability to benefit from these new technologies.</w:t>
      </w:r>
    </w:p>
    <w:p w14:paraId="3673D4C0" w14:textId="1D9F9A87" w:rsidR="001D06E3" w:rsidRPr="00463B76" w:rsidRDefault="001D06E3" w:rsidP="00273087">
      <w:pPr>
        <w:pStyle w:val="ListParagraph"/>
        <w:numPr>
          <w:ilvl w:val="0"/>
          <w:numId w:val="23"/>
        </w:numPr>
        <w:ind w:left="851" w:hanging="425"/>
        <w:contextualSpacing w:val="0"/>
        <w:rPr>
          <w:rFonts w:cstheme="minorHAnsi"/>
          <w:bCs/>
          <w:color w:val="000000" w:themeColor="text1"/>
          <w:lang w:eastAsia="en-NZ"/>
        </w:rPr>
      </w:pPr>
      <w:r w:rsidRPr="00F259E4">
        <w:rPr>
          <w:rFonts w:cstheme="minorHAnsi"/>
          <w:bCs/>
          <w:color w:val="000000" w:themeColor="text1"/>
          <w:lang w:eastAsia="en-NZ"/>
        </w:rPr>
        <w:t>ENA members understand that the removal of the regulations and adoption of new pricing methods will result in benefits for some bill payers, but for others, there will be some upward adjustment. This is especially the case for consumers who might have high loads for short periods, and low loads for long periods.</w:t>
      </w:r>
    </w:p>
    <w:p w14:paraId="155AA02A" w14:textId="2F232BFD" w:rsidR="001D06E3" w:rsidRDefault="001D06E3" w:rsidP="00273087">
      <w:pPr>
        <w:pStyle w:val="ListParagraph"/>
        <w:numPr>
          <w:ilvl w:val="0"/>
          <w:numId w:val="23"/>
        </w:numPr>
        <w:spacing w:after="360"/>
        <w:ind w:left="850" w:hanging="425"/>
        <w:contextualSpacing w:val="0"/>
        <w:rPr>
          <w:rFonts w:cstheme="minorHAnsi"/>
          <w:bCs/>
          <w:color w:val="000000" w:themeColor="text1"/>
          <w:lang w:eastAsia="en-NZ"/>
        </w:rPr>
      </w:pPr>
      <w:r w:rsidRPr="00F259E4">
        <w:rPr>
          <w:rFonts w:cstheme="minorHAnsi"/>
          <w:bCs/>
          <w:color w:val="000000" w:themeColor="text1"/>
          <w:lang w:eastAsia="en-NZ"/>
        </w:rPr>
        <w:t xml:space="preserve">ENA is aware of these impacts and is working to understand them to help members manage a transition toward removal of the regulations and cost-reflective pricing. </w:t>
      </w:r>
    </w:p>
    <w:p w14:paraId="0574CBE6" w14:textId="77777777" w:rsidR="000E4F31" w:rsidRPr="00F259E4" w:rsidRDefault="000E4F31" w:rsidP="00775317">
      <w:pPr>
        <w:pStyle w:val="ListParagraph"/>
        <w:keepNext/>
        <w:numPr>
          <w:ilvl w:val="0"/>
          <w:numId w:val="23"/>
        </w:numPr>
        <w:spacing w:after="60"/>
        <w:ind w:left="810"/>
        <w:rPr>
          <w:rFonts w:cstheme="minorHAnsi"/>
          <w:color w:val="000000" w:themeColor="text1"/>
          <w:lang w:eastAsia="en-NZ"/>
        </w:rPr>
      </w:pPr>
      <w:r>
        <w:rPr>
          <w:rFonts w:cstheme="minorHAnsi"/>
          <w:color w:val="000000" w:themeColor="text1"/>
          <w:lang w:eastAsia="en-NZ"/>
        </w:rPr>
        <w:t xml:space="preserve">ENA has in recent years been talking to stakeholders to seek support for the removal of the low-fixed charge regulations. Grey Power continues to oppose their removal and this discussion is ongoing. We would note that the $700 winter energy payment to all superannuitants applying fully in 2019 would exceed any increases in bills due to the removal of the low-fixed charge regulations.  </w:t>
      </w:r>
    </w:p>
    <w:p w14:paraId="77618F2B" w14:textId="7CFA44E6" w:rsidR="001D06E3" w:rsidRPr="004B46B2" w:rsidRDefault="001D06E3" w:rsidP="004B46B2">
      <w:pPr>
        <w:pStyle w:val="Heading2"/>
        <w:rPr>
          <w:lang w:eastAsia="en-NZ"/>
        </w:rPr>
      </w:pPr>
      <w:r w:rsidRPr="00F259E4">
        <w:rPr>
          <w:lang w:eastAsia="en-NZ"/>
        </w:rPr>
        <w:t>Recommendation</w:t>
      </w:r>
      <w:r w:rsidR="00346ADC">
        <w:rPr>
          <w:lang w:eastAsia="en-NZ"/>
        </w:rPr>
        <w:t xml:space="preserve"> 5.3</w:t>
      </w:r>
      <w:r w:rsidRPr="00F259E4">
        <w:rPr>
          <w:lang w:eastAsia="en-NZ"/>
        </w:rPr>
        <w:t>:</w:t>
      </w:r>
      <w:r w:rsidR="004B46B2">
        <w:rPr>
          <w:lang w:eastAsia="en-NZ"/>
        </w:rPr>
        <w:t xml:space="preserve"> </w:t>
      </w:r>
      <w:r w:rsidR="005F09AC" w:rsidRPr="005F09AC">
        <w:rPr>
          <w:lang w:eastAsia="en-NZ"/>
        </w:rPr>
        <w:t>The ENA recommends that the Electricity (Low Fixed Charge Ta</w:t>
      </w:r>
      <w:r w:rsidR="00980F92">
        <w:rPr>
          <w:lang w:eastAsia="en-NZ"/>
        </w:rPr>
        <w:t>r</w:t>
      </w:r>
      <w:r w:rsidR="005F09AC" w:rsidRPr="005F09AC">
        <w:rPr>
          <w:lang w:eastAsia="en-NZ"/>
        </w:rPr>
        <w:t xml:space="preserve">iff </w:t>
      </w:r>
      <w:r w:rsidR="00A654A5">
        <w:rPr>
          <w:lang w:eastAsia="en-NZ"/>
        </w:rPr>
        <w:t>O</w:t>
      </w:r>
      <w:r w:rsidR="005F09AC" w:rsidRPr="005F09AC">
        <w:rPr>
          <w:lang w:eastAsia="en-NZ"/>
        </w:rPr>
        <w:t>ption for Domestic Consumers) Regulations 2004 should be revoked as a matter of urgency. ENA and EDBs are willing to commit to lead a process, with government and other industry participants (e.g. retailers), to design mechanisms to mitigate any negative impacts of this transition.</w:t>
      </w:r>
    </w:p>
    <w:p w14:paraId="74BE5709" w14:textId="4213ED35" w:rsidR="001D06E3" w:rsidRDefault="001D06E3" w:rsidP="00273087">
      <w:pPr>
        <w:pStyle w:val="ListParagraph"/>
        <w:numPr>
          <w:ilvl w:val="0"/>
          <w:numId w:val="55"/>
        </w:numPr>
        <w:ind w:left="426" w:hanging="426"/>
        <w:contextualSpacing w:val="0"/>
        <w:rPr>
          <w:rFonts w:cstheme="minorHAnsi"/>
          <w:b/>
          <w:color w:val="000000" w:themeColor="text1"/>
        </w:rPr>
      </w:pPr>
      <w:r w:rsidRPr="00F259E4">
        <w:rPr>
          <w:rFonts w:cstheme="minorHAnsi"/>
          <w:b/>
          <w:color w:val="000000" w:themeColor="text1"/>
        </w:rPr>
        <w:t>What are your views on the assessment of gaps or overlaps between the regulators?</w:t>
      </w:r>
    </w:p>
    <w:p w14:paraId="117FDCE7" w14:textId="53B63BC8" w:rsidR="00F459B1" w:rsidRPr="00F459B1" w:rsidRDefault="00F459B1" w:rsidP="00F459B1">
      <w:pPr>
        <w:rPr>
          <w:rFonts w:cstheme="minorHAnsi"/>
          <w:b/>
          <w:color w:val="000000" w:themeColor="text1"/>
        </w:rPr>
      </w:pPr>
      <w:r>
        <w:rPr>
          <w:rFonts w:cstheme="minorHAnsi"/>
          <w:b/>
          <w:color w:val="000000" w:themeColor="text1"/>
        </w:rPr>
        <w:t>Regulation of networks</w:t>
      </w:r>
    </w:p>
    <w:p w14:paraId="69AC4903" w14:textId="77777777" w:rsidR="00775317" w:rsidRPr="00463B76" w:rsidRDefault="00775317" w:rsidP="00775317">
      <w:pPr>
        <w:pStyle w:val="ListParagraph"/>
        <w:numPr>
          <w:ilvl w:val="0"/>
          <w:numId w:val="66"/>
        </w:numPr>
        <w:contextualSpacing w:val="0"/>
        <w:rPr>
          <w:iCs/>
          <w:color w:val="000000"/>
          <w:lang w:eastAsia="en-GB"/>
        </w:rPr>
      </w:pPr>
      <w:r w:rsidRPr="00A74802">
        <w:rPr>
          <w:iCs/>
          <w:color w:val="000000"/>
          <w:lang w:eastAsia="en-GB"/>
        </w:rPr>
        <w:t>ENA members have identified benefits in shifting all economic, pricing, and reliability regulation of networks to the Commerce Commission. This rationalisation of functions would clear confusion for network companies and stakeholders, and reduce the workload on the Authority, thereby allowing it to concentrate on dealing with the significant issues in the market that have been raised by the Panel.</w:t>
      </w:r>
    </w:p>
    <w:p w14:paraId="1179F9F2" w14:textId="77777777" w:rsidR="00775317" w:rsidRPr="00463B76" w:rsidRDefault="00775317" w:rsidP="00775317">
      <w:pPr>
        <w:pStyle w:val="ListParagraph"/>
        <w:numPr>
          <w:ilvl w:val="0"/>
          <w:numId w:val="66"/>
        </w:numPr>
        <w:contextualSpacing w:val="0"/>
        <w:rPr>
          <w:iCs/>
          <w:color w:val="000000"/>
          <w:lang w:eastAsia="en-GB"/>
        </w:rPr>
      </w:pPr>
      <w:r w:rsidRPr="00A74802">
        <w:rPr>
          <w:iCs/>
          <w:color w:val="000000"/>
          <w:lang w:eastAsia="en-GB"/>
        </w:rPr>
        <w:lastRenderedPageBreak/>
        <w:t>The Electricity Authority would remain in charge of oversight of issues concerning generation, retailing, and the wholesale electricity market, while any areas concerning networks would rest with the Commission.</w:t>
      </w:r>
    </w:p>
    <w:p w14:paraId="0F766413" w14:textId="27AD65B8" w:rsidR="00775317" w:rsidRPr="00463B76" w:rsidRDefault="00775317" w:rsidP="00775317">
      <w:pPr>
        <w:pStyle w:val="ListParagraph"/>
        <w:numPr>
          <w:ilvl w:val="0"/>
          <w:numId w:val="66"/>
        </w:numPr>
        <w:contextualSpacing w:val="0"/>
        <w:rPr>
          <w:iCs/>
          <w:color w:val="000000"/>
          <w:lang w:eastAsia="en-GB"/>
        </w:rPr>
      </w:pPr>
      <w:r w:rsidRPr="00A74802">
        <w:rPr>
          <w:iCs/>
          <w:color w:val="000000"/>
          <w:lang w:eastAsia="en-GB"/>
        </w:rPr>
        <w:t>ENA believes that a reallocation would not only clarify the roles of the two regulators, it would create a defined boundary between them and, by definition, clearer delineation of roles.  The Panel itself has identified some issues of overlap and ambiguity in areas such as network procurement, competitiveness of adjacent markets, and access to distribution networks.</w:t>
      </w:r>
    </w:p>
    <w:p w14:paraId="4BE9F85B" w14:textId="77777777" w:rsidR="00775317" w:rsidRPr="00463B76" w:rsidRDefault="00775317" w:rsidP="00775317">
      <w:pPr>
        <w:pStyle w:val="ListParagraph"/>
        <w:numPr>
          <w:ilvl w:val="0"/>
          <w:numId w:val="66"/>
        </w:numPr>
        <w:contextualSpacing w:val="0"/>
        <w:rPr>
          <w:iCs/>
          <w:color w:val="000000"/>
          <w:lang w:eastAsia="en-GB"/>
        </w:rPr>
      </w:pPr>
      <w:r w:rsidRPr="00A74802">
        <w:rPr>
          <w:iCs/>
          <w:color w:val="000000"/>
          <w:lang w:eastAsia="en-GB"/>
        </w:rPr>
        <w:t>A single regulator for distribution (and possibly transmission, though ENA does not have a view on this) would leverage the skills and experience of the Commerce Commission, which is the expert in regulation of monopoly networks and infrastructure.</w:t>
      </w:r>
    </w:p>
    <w:p w14:paraId="69E99186" w14:textId="0A2892F4" w:rsidR="00775317" w:rsidRPr="00463B76" w:rsidRDefault="00775317" w:rsidP="00775317">
      <w:pPr>
        <w:pStyle w:val="ListParagraph"/>
        <w:numPr>
          <w:ilvl w:val="0"/>
          <w:numId w:val="66"/>
        </w:numPr>
        <w:contextualSpacing w:val="0"/>
        <w:rPr>
          <w:iCs/>
          <w:color w:val="000000"/>
          <w:lang w:eastAsia="en-GB"/>
        </w:rPr>
      </w:pPr>
      <w:r w:rsidRPr="00A74802">
        <w:rPr>
          <w:iCs/>
          <w:color w:val="000000"/>
          <w:lang w:eastAsia="en-GB"/>
        </w:rPr>
        <w:t>The Commission has well-established processes for consultations with the distribution sector, and, by and large, carries ou</w:t>
      </w:r>
      <w:r w:rsidR="00226E20">
        <w:rPr>
          <w:iCs/>
          <w:color w:val="000000"/>
          <w:lang w:eastAsia="en-GB"/>
        </w:rPr>
        <w:t>t</w:t>
      </w:r>
      <w:r w:rsidRPr="00A74802">
        <w:rPr>
          <w:iCs/>
          <w:color w:val="000000"/>
          <w:lang w:eastAsia="en-GB"/>
        </w:rPr>
        <w:t xml:space="preserve"> these consultations in a fair and measured way.  For example, the Commission spent two years preparing and consulting on the review of input methodologies, breaking the consultation into bite-sized pieces.  More recently, the Commission has been working with the ENA well ahead of the 2020 reset of the Default Price Path. </w:t>
      </w:r>
    </w:p>
    <w:p w14:paraId="4080B30C" w14:textId="4224010F" w:rsidR="00775317" w:rsidRDefault="00775317" w:rsidP="00775317">
      <w:pPr>
        <w:pStyle w:val="ListParagraph"/>
        <w:numPr>
          <w:ilvl w:val="0"/>
          <w:numId w:val="66"/>
        </w:numPr>
        <w:contextualSpacing w:val="0"/>
        <w:rPr>
          <w:iCs/>
          <w:color w:val="000000"/>
          <w:lang w:eastAsia="en-GB"/>
        </w:rPr>
      </w:pPr>
      <w:r w:rsidRPr="00A74802">
        <w:rPr>
          <w:iCs/>
          <w:color w:val="000000"/>
          <w:lang w:eastAsia="en-GB"/>
        </w:rPr>
        <w:t>Moving the Electricity Authority’s pricing oversight to the Commission would also send an encouraging message to investors. The Commission has set input methodologies which have been through a seven-year review, creating a stable regulatory environment. “The creation of a stable regulatory environment has been recently confirmed through an independent assessment by Standard &amp; Poor’s Global. Improved credit ratings should feed through to consumers through our assessment of the debt premium from corporate bonds and lead to lower prices. We have estimated that approximately $6 billion has been invested by electricity lines businesses since 2008 and that investment is still an important driver of consumer benefits in this sector.”</w:t>
      </w:r>
      <w:r w:rsidR="00806F08">
        <w:rPr>
          <w:rStyle w:val="FootnoteReference"/>
          <w:iCs/>
          <w:color w:val="000000"/>
          <w:lang w:eastAsia="en-GB"/>
        </w:rPr>
        <w:footnoteReference w:id="59"/>
      </w:r>
    </w:p>
    <w:p w14:paraId="0D87543E" w14:textId="11567E6E" w:rsidR="00F459B1" w:rsidRPr="000A232B" w:rsidRDefault="00F459B1" w:rsidP="00F459B1">
      <w:pPr>
        <w:rPr>
          <w:b/>
          <w:iCs/>
          <w:color w:val="000000"/>
          <w:lang w:eastAsia="en-GB"/>
        </w:rPr>
      </w:pPr>
      <w:r w:rsidRPr="000A232B">
        <w:rPr>
          <w:b/>
          <w:iCs/>
          <w:color w:val="000000"/>
          <w:lang w:eastAsia="en-GB"/>
        </w:rPr>
        <w:t>Access to Networks</w:t>
      </w:r>
    </w:p>
    <w:p w14:paraId="52B291F3" w14:textId="23FC8E54" w:rsidR="001D06E3" w:rsidRPr="004B46B2" w:rsidRDefault="001D06E3" w:rsidP="00273087">
      <w:pPr>
        <w:pStyle w:val="ListParagraph"/>
        <w:numPr>
          <w:ilvl w:val="0"/>
          <w:numId w:val="54"/>
        </w:numPr>
        <w:ind w:left="851" w:hanging="425"/>
        <w:contextualSpacing w:val="0"/>
        <w:jc w:val="both"/>
        <w:rPr>
          <w:rFonts w:cstheme="minorHAnsi"/>
          <w:color w:val="000000" w:themeColor="text1"/>
        </w:rPr>
      </w:pPr>
      <w:r w:rsidRPr="00F259E4">
        <w:rPr>
          <w:rFonts w:cstheme="minorHAnsi"/>
          <w:color w:val="000000" w:themeColor="text1"/>
        </w:rPr>
        <w:t xml:space="preserve">In regard to the Panel’s comments about regulatory overlap in terms of access to networks, ENA does not agree that there is a clearly defined problem with access to networks. </w:t>
      </w:r>
    </w:p>
    <w:p w14:paraId="2796020D" w14:textId="3B4CF8CB" w:rsidR="001D06E3" w:rsidRPr="00F259E4" w:rsidRDefault="001D06E3" w:rsidP="00273087">
      <w:pPr>
        <w:pStyle w:val="ListParagraph"/>
        <w:numPr>
          <w:ilvl w:val="0"/>
          <w:numId w:val="54"/>
        </w:numPr>
        <w:ind w:left="851" w:hanging="425"/>
        <w:contextualSpacing w:val="0"/>
        <w:rPr>
          <w:rFonts w:cstheme="minorHAnsi"/>
          <w:color w:val="000000" w:themeColor="text1"/>
        </w:rPr>
      </w:pPr>
      <w:r w:rsidRPr="00F259E4">
        <w:rPr>
          <w:rFonts w:cstheme="minorHAnsi"/>
          <w:color w:val="000000" w:themeColor="text1"/>
        </w:rPr>
        <w:t>The EPR issues paper describes what appears to be entirely theoretical concerns about situations that might arise in the future related to the deployment of new technologies on the distribution networks and the commercial opportunities that could arise</w:t>
      </w:r>
      <w:r w:rsidR="00463B76">
        <w:rPr>
          <w:rFonts w:cstheme="minorHAnsi"/>
          <w:color w:val="000000" w:themeColor="text1"/>
        </w:rPr>
        <w:t xml:space="preserve">. </w:t>
      </w:r>
    </w:p>
    <w:p w14:paraId="40D98058" w14:textId="0292F474" w:rsidR="001D06E3" w:rsidRDefault="001D06E3" w:rsidP="00273087">
      <w:pPr>
        <w:pStyle w:val="ListParagraph"/>
        <w:numPr>
          <w:ilvl w:val="0"/>
          <w:numId w:val="54"/>
        </w:numPr>
        <w:ind w:left="851" w:hanging="425"/>
        <w:contextualSpacing w:val="0"/>
        <w:rPr>
          <w:rFonts w:cstheme="minorHAnsi"/>
          <w:color w:val="000000" w:themeColor="text1"/>
        </w:rPr>
      </w:pPr>
      <w:r w:rsidRPr="00F259E4">
        <w:rPr>
          <w:rFonts w:cstheme="minorHAnsi"/>
          <w:color w:val="000000" w:themeColor="text1"/>
        </w:rPr>
        <w:t xml:space="preserve">As noted in ENA’s response to question 26 above, we believe it would be premature to curtail EDB investment and deployment of new technologies. To do so would inhibit or curtail the types of new technology-driven markets and offerings that the industry and Government are trying to encourage. We strongly recommend to the </w:t>
      </w:r>
      <w:r w:rsidR="00F66A2B">
        <w:rPr>
          <w:rFonts w:cstheme="minorHAnsi"/>
          <w:color w:val="000000" w:themeColor="text1"/>
        </w:rPr>
        <w:t>Panel</w:t>
      </w:r>
      <w:r w:rsidRPr="00F259E4">
        <w:rPr>
          <w:rFonts w:cstheme="minorHAnsi"/>
          <w:color w:val="000000" w:themeColor="text1"/>
        </w:rPr>
        <w:t xml:space="preserve"> that </w:t>
      </w:r>
      <w:r w:rsidR="00AF4DE3">
        <w:rPr>
          <w:rFonts w:cstheme="minorHAnsi"/>
          <w:color w:val="000000" w:themeColor="text1"/>
        </w:rPr>
        <w:t xml:space="preserve">no regulatory intervention be made </w:t>
      </w:r>
      <w:r w:rsidRPr="00F259E4">
        <w:rPr>
          <w:rFonts w:cstheme="minorHAnsi"/>
          <w:color w:val="000000" w:themeColor="text1"/>
        </w:rPr>
        <w:t xml:space="preserve">while these markets are still emerging. If and when concrete, real-world evidence emerges of some negative effect on new markets due to </w:t>
      </w:r>
      <w:r w:rsidRPr="00F259E4">
        <w:rPr>
          <w:rFonts w:cstheme="minorHAnsi"/>
          <w:color w:val="000000" w:themeColor="text1"/>
        </w:rPr>
        <w:lastRenderedPageBreak/>
        <w:t>EDB interaction, it would then be reasonable to reassess the regulations around ‘network access’.</w:t>
      </w:r>
    </w:p>
    <w:p w14:paraId="2F8D5959" w14:textId="28D9F793" w:rsidR="00FD66CC" w:rsidRPr="004B46B2" w:rsidRDefault="001D06E3" w:rsidP="004B46B2">
      <w:pPr>
        <w:pStyle w:val="Heading2"/>
        <w:spacing w:after="360"/>
      </w:pPr>
      <w:r w:rsidRPr="00F259E4">
        <w:t>Recommendation</w:t>
      </w:r>
      <w:r w:rsidR="00346ADC">
        <w:t xml:space="preserve"> 5.4</w:t>
      </w:r>
      <w:r w:rsidRPr="00F259E4">
        <w:t>:</w:t>
      </w:r>
      <w:r w:rsidR="004B46B2">
        <w:t xml:space="preserve"> </w:t>
      </w:r>
      <w:r w:rsidR="002D61F8">
        <w:t xml:space="preserve">That the responsibility for the regulation of </w:t>
      </w:r>
      <w:r w:rsidR="00985F3D">
        <w:t xml:space="preserve">any matters related to electricity distribution should be transferred </w:t>
      </w:r>
      <w:r w:rsidR="002D61F8">
        <w:t xml:space="preserve">from the Electricity Authority to the </w:t>
      </w:r>
      <w:r w:rsidR="00FD66CC" w:rsidRPr="00CD6E2E">
        <w:t>Commerce Commission</w:t>
      </w:r>
      <w:r w:rsidR="00DF1038">
        <w:t>.</w:t>
      </w:r>
    </w:p>
    <w:p w14:paraId="14E1EE44" w14:textId="162175E8" w:rsidR="004373AA" w:rsidRPr="004B46B2" w:rsidRDefault="008B1BC4" w:rsidP="004B46B2">
      <w:pPr>
        <w:pStyle w:val="Heading2"/>
      </w:pPr>
      <w:r>
        <w:t>Recommendation 5.5</w:t>
      </w:r>
      <w:r w:rsidR="00A00D99">
        <w:t>:</w:t>
      </w:r>
      <w:r w:rsidR="004B46B2">
        <w:t xml:space="preserve"> </w:t>
      </w:r>
      <w:r w:rsidR="004373AA">
        <w:t>T</w:t>
      </w:r>
      <w:r w:rsidR="004373AA" w:rsidRPr="004373AA">
        <w:t xml:space="preserve">hat no </w:t>
      </w:r>
      <w:r w:rsidR="00AF4DE3">
        <w:t>regulatory</w:t>
      </w:r>
      <w:r w:rsidR="00985C81">
        <w:t xml:space="preserve"> intervention be made </w:t>
      </w:r>
      <w:r w:rsidR="004373AA" w:rsidRPr="004373AA">
        <w:t xml:space="preserve">while markets </w:t>
      </w:r>
      <w:r w:rsidR="00D458E5">
        <w:t xml:space="preserve">enabled by new technologies (e.g. PV, electric vehicles and charging infrastructure, domestic and grid-scale batteries, etc) </w:t>
      </w:r>
      <w:r w:rsidR="004373AA" w:rsidRPr="004373AA">
        <w:t>are still emerging. If and when concrete, real-world evidence emerges of some negative effect on new markets due to EDB interaction, it would then be reasonable to reassess the regulations around ‘network access’.</w:t>
      </w:r>
    </w:p>
    <w:p w14:paraId="227F5BBC" w14:textId="77777777" w:rsidR="001D06E3" w:rsidRPr="00F259E4" w:rsidRDefault="001D06E3" w:rsidP="00273087">
      <w:pPr>
        <w:pStyle w:val="ListParagraph"/>
        <w:numPr>
          <w:ilvl w:val="0"/>
          <w:numId w:val="55"/>
        </w:numPr>
        <w:ind w:left="450" w:hanging="450"/>
        <w:contextualSpacing w:val="0"/>
        <w:jc w:val="both"/>
        <w:rPr>
          <w:rFonts w:cstheme="minorHAnsi"/>
          <w:b/>
          <w:color w:val="000000" w:themeColor="text1"/>
        </w:rPr>
      </w:pPr>
      <w:r w:rsidRPr="00F259E4">
        <w:rPr>
          <w:rFonts w:cstheme="minorHAnsi"/>
          <w:b/>
          <w:color w:val="000000" w:themeColor="text1"/>
        </w:rPr>
        <w:t>What are your views on the assessment of whether the regulatory framework and regulators’ workplans enable new technologies and business models to emerge?</w:t>
      </w:r>
    </w:p>
    <w:p w14:paraId="0ED46ADE" w14:textId="59A15712" w:rsidR="001D06E3" w:rsidRPr="00463B76" w:rsidRDefault="001D06E3" w:rsidP="00273087">
      <w:pPr>
        <w:pStyle w:val="ListParagraph"/>
        <w:keepNext/>
        <w:numPr>
          <w:ilvl w:val="0"/>
          <w:numId w:val="15"/>
        </w:numPr>
        <w:ind w:left="851" w:hanging="425"/>
        <w:contextualSpacing w:val="0"/>
        <w:rPr>
          <w:rFonts w:cstheme="minorHAnsi"/>
          <w:bCs/>
          <w:color w:val="000000" w:themeColor="text1"/>
          <w:lang w:eastAsia="en-NZ"/>
        </w:rPr>
      </w:pPr>
      <w:r w:rsidRPr="00F259E4">
        <w:rPr>
          <w:rFonts w:cstheme="minorHAnsi"/>
          <w:color w:val="000000" w:themeColor="text1"/>
          <w:lang w:eastAsia="en-NZ"/>
        </w:rPr>
        <w:t xml:space="preserve">ENA agrees that the specific example (peer-to-peer trading) quoted by the </w:t>
      </w:r>
      <w:r w:rsidR="00886C5F">
        <w:rPr>
          <w:rFonts w:cstheme="minorHAnsi"/>
          <w:color w:val="000000" w:themeColor="text1"/>
          <w:lang w:eastAsia="en-NZ"/>
        </w:rPr>
        <w:t>Panel</w:t>
      </w:r>
      <w:r w:rsidR="00A50FD5">
        <w:rPr>
          <w:rStyle w:val="FootnoteReference"/>
          <w:rFonts w:cstheme="minorHAnsi"/>
          <w:color w:val="000000" w:themeColor="text1"/>
          <w:lang w:eastAsia="en-NZ"/>
        </w:rPr>
        <w:footnoteReference w:id="60"/>
      </w:r>
      <w:r w:rsidRPr="00F259E4">
        <w:rPr>
          <w:rFonts w:cstheme="minorHAnsi"/>
          <w:color w:val="000000" w:themeColor="text1"/>
          <w:lang w:eastAsia="en-NZ"/>
        </w:rPr>
        <w:t xml:space="preserve"> is not facilitated easily by the current regulatory framework. But the EA has a work programme to address this particular issue.</w:t>
      </w:r>
    </w:p>
    <w:p w14:paraId="5B7B4556" w14:textId="0296A988" w:rsidR="001D06E3" w:rsidRPr="00463B76" w:rsidRDefault="001D06E3" w:rsidP="00273087">
      <w:pPr>
        <w:pStyle w:val="ListParagraph"/>
        <w:keepNext/>
        <w:numPr>
          <w:ilvl w:val="0"/>
          <w:numId w:val="15"/>
        </w:numPr>
        <w:ind w:left="851" w:hanging="425"/>
        <w:contextualSpacing w:val="0"/>
        <w:rPr>
          <w:rFonts w:cstheme="minorHAnsi"/>
          <w:b/>
          <w:color w:val="000000" w:themeColor="text1"/>
          <w:lang w:eastAsia="en-NZ"/>
        </w:rPr>
      </w:pPr>
      <w:r w:rsidRPr="00F259E4">
        <w:rPr>
          <w:rFonts w:cstheme="minorHAnsi"/>
          <w:color w:val="000000" w:themeColor="text1"/>
          <w:lang w:eastAsia="en-NZ"/>
        </w:rPr>
        <w:t xml:space="preserve">Leaving aside the peer-to-peer example, ENA does have concerns that the ability of industry regulators (and wider government agencies) to amend third-tier rules, and primary and secondary legislation to accommodate rapid technological change, is significantly limited. </w:t>
      </w:r>
    </w:p>
    <w:p w14:paraId="0E259AAD" w14:textId="72D2EC50" w:rsidR="00463B76" w:rsidRDefault="001D06E3" w:rsidP="00273087">
      <w:pPr>
        <w:pStyle w:val="ListParagraph"/>
        <w:keepNext/>
        <w:numPr>
          <w:ilvl w:val="0"/>
          <w:numId w:val="15"/>
        </w:numPr>
        <w:spacing w:after="60"/>
        <w:ind w:left="851" w:hanging="425"/>
        <w:rPr>
          <w:rFonts w:cstheme="minorHAnsi"/>
          <w:b/>
          <w:color w:val="000000" w:themeColor="text1"/>
          <w:lang w:eastAsia="en-NZ"/>
        </w:rPr>
      </w:pPr>
      <w:r w:rsidRPr="00A00D99">
        <w:rPr>
          <w:rFonts w:cstheme="minorHAnsi"/>
          <w:color w:val="000000" w:themeColor="text1"/>
          <w:lang w:eastAsia="en-NZ"/>
        </w:rPr>
        <w:t xml:space="preserve">For example, the industry is frustrated by the extremely slow processes for technical standards, referenced in regulations, to be updated in a timely manner. We urge the </w:t>
      </w:r>
      <w:r w:rsidR="00886C5F">
        <w:rPr>
          <w:rFonts w:cstheme="minorHAnsi"/>
          <w:color w:val="000000" w:themeColor="text1"/>
          <w:lang w:eastAsia="en-NZ"/>
        </w:rPr>
        <w:t>Panel</w:t>
      </w:r>
      <w:r w:rsidRPr="00A00D99">
        <w:rPr>
          <w:rFonts w:cstheme="minorHAnsi"/>
          <w:color w:val="000000" w:themeColor="text1"/>
          <w:lang w:eastAsia="en-NZ"/>
        </w:rPr>
        <w:t xml:space="preserve"> to recommend that the regulatory framework be reviewed to ensure that changes to standards and other codes and guidance can be made in a timely way so these do not pose a barrier to technology uptake or business innovation.</w:t>
      </w:r>
      <w:r w:rsidR="00A00D99" w:rsidRPr="00463B76">
        <w:rPr>
          <w:rFonts w:cstheme="minorHAnsi"/>
          <w:color w:val="000000" w:themeColor="text1"/>
          <w:lang w:eastAsia="en-NZ"/>
        </w:rPr>
        <w:br/>
      </w:r>
    </w:p>
    <w:p w14:paraId="6F051542" w14:textId="0985FEBF" w:rsidR="001D06E3" w:rsidRPr="004B46B2" w:rsidRDefault="001D06E3" w:rsidP="004B46B2">
      <w:pPr>
        <w:pStyle w:val="Heading2"/>
        <w:rPr>
          <w:lang w:eastAsia="en-NZ"/>
        </w:rPr>
      </w:pPr>
      <w:r w:rsidRPr="00463B76">
        <w:rPr>
          <w:lang w:eastAsia="en-NZ"/>
        </w:rPr>
        <w:t>Recommendation</w:t>
      </w:r>
      <w:r w:rsidR="004C6D58" w:rsidRPr="00463B76">
        <w:rPr>
          <w:lang w:eastAsia="en-NZ"/>
        </w:rPr>
        <w:t xml:space="preserve"> </w:t>
      </w:r>
      <w:r w:rsidR="00335DCD" w:rsidRPr="00463B76">
        <w:rPr>
          <w:lang w:eastAsia="en-NZ"/>
        </w:rPr>
        <w:t>5.6</w:t>
      </w:r>
      <w:r w:rsidR="004F5434" w:rsidRPr="00463B76">
        <w:rPr>
          <w:lang w:eastAsia="en-NZ"/>
        </w:rPr>
        <w:t>:</w:t>
      </w:r>
      <w:r w:rsidR="004B46B2">
        <w:rPr>
          <w:lang w:eastAsia="en-NZ"/>
        </w:rPr>
        <w:t xml:space="preserve"> </w:t>
      </w:r>
      <w:r w:rsidRPr="00F259E4">
        <w:rPr>
          <w:lang w:eastAsia="en-NZ"/>
        </w:rPr>
        <w:t xml:space="preserve">That the </w:t>
      </w:r>
      <w:r w:rsidR="00F66A2B">
        <w:rPr>
          <w:lang w:eastAsia="en-NZ"/>
        </w:rPr>
        <w:t>Panel</w:t>
      </w:r>
      <w:r w:rsidR="000614CA">
        <w:rPr>
          <w:lang w:eastAsia="en-NZ"/>
        </w:rPr>
        <w:t xml:space="preserve"> </w:t>
      </w:r>
      <w:r w:rsidRPr="00F259E4">
        <w:rPr>
          <w:lang w:eastAsia="en-NZ"/>
        </w:rPr>
        <w:t>recommends that the regulatory framework supports the ability to improve standards, codes and guidance in a timely way, to avoid barriers to technology uptake or business innovation.</w:t>
      </w:r>
    </w:p>
    <w:p w14:paraId="310D70BA" w14:textId="77777777" w:rsidR="001D06E3" w:rsidRPr="00F259E4" w:rsidRDefault="001D06E3" w:rsidP="00273087">
      <w:pPr>
        <w:pStyle w:val="ListParagraph"/>
        <w:numPr>
          <w:ilvl w:val="0"/>
          <w:numId w:val="55"/>
        </w:numPr>
        <w:ind w:left="426" w:hanging="426"/>
        <w:contextualSpacing w:val="0"/>
        <w:jc w:val="both"/>
        <w:rPr>
          <w:rStyle w:val="Strong"/>
          <w:rFonts w:cstheme="minorHAnsi"/>
          <w:i w:val="0"/>
          <w:color w:val="000000" w:themeColor="text1"/>
          <w:sz w:val="22"/>
          <w:szCs w:val="22"/>
        </w:rPr>
      </w:pPr>
      <w:r w:rsidRPr="00F259E4">
        <w:rPr>
          <w:rStyle w:val="Strong"/>
          <w:rFonts w:cstheme="minorHAnsi"/>
          <w:i w:val="0"/>
          <w:color w:val="000000" w:themeColor="text1"/>
          <w:sz w:val="22"/>
          <w:szCs w:val="22"/>
        </w:rPr>
        <w:t xml:space="preserve"> What are your views on the assessment of other matters for the regulatory framework?</w:t>
      </w:r>
    </w:p>
    <w:p w14:paraId="7F05E794" w14:textId="34A68328" w:rsidR="001D06E3" w:rsidRPr="00463B76" w:rsidRDefault="00630F1F" w:rsidP="00273087">
      <w:pPr>
        <w:pStyle w:val="ListParagraph"/>
        <w:numPr>
          <w:ilvl w:val="0"/>
          <w:numId w:val="15"/>
        </w:numPr>
        <w:ind w:left="851" w:hanging="425"/>
        <w:contextualSpacing w:val="0"/>
        <w:rPr>
          <w:rFonts w:cstheme="minorHAnsi"/>
          <w:lang w:eastAsia="en-NZ"/>
        </w:rPr>
      </w:pPr>
      <w:r>
        <w:rPr>
          <w:rFonts w:cstheme="minorHAnsi"/>
          <w:lang w:eastAsia="en-NZ"/>
        </w:rPr>
        <w:t xml:space="preserve">Because it is </w:t>
      </w:r>
      <w:r w:rsidR="001D06E3" w:rsidRPr="00F259E4">
        <w:rPr>
          <w:rFonts w:cstheme="minorHAnsi"/>
          <w:lang w:eastAsia="en-NZ"/>
        </w:rPr>
        <w:t xml:space="preserve">not mentioned in the </w:t>
      </w:r>
      <w:r w:rsidR="006F208A">
        <w:rPr>
          <w:rFonts w:cstheme="minorHAnsi"/>
          <w:lang w:eastAsia="en-NZ"/>
        </w:rPr>
        <w:t xml:space="preserve">Panel’s issues paper, </w:t>
      </w:r>
      <w:r>
        <w:rPr>
          <w:rFonts w:cstheme="minorHAnsi"/>
          <w:lang w:eastAsia="en-NZ"/>
        </w:rPr>
        <w:t xml:space="preserve">ENA </w:t>
      </w:r>
      <w:r w:rsidR="001D06E3" w:rsidRPr="00F259E4">
        <w:rPr>
          <w:rFonts w:cstheme="minorHAnsi"/>
          <w:lang w:eastAsia="en-NZ"/>
        </w:rPr>
        <w:t>draw</w:t>
      </w:r>
      <w:r>
        <w:rPr>
          <w:rFonts w:cstheme="minorHAnsi"/>
          <w:lang w:eastAsia="en-NZ"/>
        </w:rPr>
        <w:t>s</w:t>
      </w:r>
      <w:r w:rsidR="001D06E3" w:rsidRPr="00F259E4">
        <w:rPr>
          <w:rFonts w:cstheme="minorHAnsi"/>
          <w:lang w:eastAsia="en-NZ"/>
        </w:rPr>
        <w:t xml:space="preserve"> the attention of the Panel to the issue of the Electricity (Hazards from Trees) Regulations 2003 (the </w:t>
      </w:r>
      <w:r w:rsidR="00886C5F">
        <w:rPr>
          <w:rFonts w:cstheme="minorHAnsi"/>
          <w:lang w:eastAsia="en-NZ"/>
        </w:rPr>
        <w:t>t</w:t>
      </w:r>
      <w:r w:rsidR="001D06E3" w:rsidRPr="00F259E4">
        <w:rPr>
          <w:rFonts w:cstheme="minorHAnsi"/>
          <w:lang w:eastAsia="en-NZ"/>
        </w:rPr>
        <w:t xml:space="preserve">ree </w:t>
      </w:r>
      <w:r w:rsidR="00886C5F">
        <w:rPr>
          <w:rFonts w:cstheme="minorHAnsi"/>
          <w:lang w:eastAsia="en-NZ"/>
        </w:rPr>
        <w:t>r</w:t>
      </w:r>
      <w:r w:rsidR="001D06E3" w:rsidRPr="00F259E4">
        <w:rPr>
          <w:rFonts w:cstheme="minorHAnsi"/>
          <w:lang w:eastAsia="en-NZ"/>
        </w:rPr>
        <w:t xml:space="preserve">egs). </w:t>
      </w:r>
    </w:p>
    <w:p w14:paraId="1ECC3FBE" w14:textId="14D9582A" w:rsidR="001D06E3" w:rsidRPr="00463B76" w:rsidRDefault="001D06E3" w:rsidP="00273087">
      <w:pPr>
        <w:pStyle w:val="ListParagraph"/>
        <w:numPr>
          <w:ilvl w:val="0"/>
          <w:numId w:val="15"/>
        </w:numPr>
        <w:ind w:left="851" w:hanging="425"/>
        <w:contextualSpacing w:val="0"/>
        <w:rPr>
          <w:rFonts w:cstheme="minorHAnsi"/>
          <w:lang w:eastAsia="en-NZ"/>
        </w:rPr>
      </w:pPr>
      <w:r w:rsidRPr="00F259E4">
        <w:rPr>
          <w:rFonts w:cstheme="minorHAnsi"/>
          <w:lang w:eastAsia="en-NZ"/>
        </w:rPr>
        <w:t xml:space="preserve">Management of vegetation close to overhead powerlines, and the costs of repairing overhead lines damaged by vegetation, are very significant sources of expenditure for some EDBs. The antiquated, bureaucratic and inflexible nature of these regulations </w:t>
      </w:r>
      <w:r w:rsidRPr="00F259E4">
        <w:rPr>
          <w:rFonts w:cstheme="minorHAnsi"/>
          <w:lang w:eastAsia="en-NZ"/>
        </w:rPr>
        <w:lastRenderedPageBreak/>
        <w:t xml:space="preserve">hamstring EDB efforts to undertake a more modern, risk-based and strategic approach to managing vegetation close to their assets. </w:t>
      </w:r>
    </w:p>
    <w:p w14:paraId="0FCB0FAF" w14:textId="3197DF0F" w:rsidR="001D06E3" w:rsidRPr="00463B76" w:rsidRDefault="001D06E3" w:rsidP="00273087">
      <w:pPr>
        <w:pStyle w:val="ListParagraph"/>
        <w:numPr>
          <w:ilvl w:val="0"/>
          <w:numId w:val="15"/>
        </w:numPr>
        <w:ind w:left="851" w:hanging="425"/>
        <w:contextualSpacing w:val="0"/>
        <w:rPr>
          <w:rFonts w:cstheme="minorHAnsi"/>
          <w:lang w:eastAsia="en-NZ"/>
        </w:rPr>
      </w:pPr>
      <w:r w:rsidRPr="00F259E4">
        <w:rPr>
          <w:rFonts w:cstheme="minorHAnsi"/>
          <w:lang w:eastAsia="en-NZ"/>
        </w:rPr>
        <w:t>The existing regulations place too small a burden on commercial tree owners (</w:t>
      </w:r>
      <w:r w:rsidR="0085381C">
        <w:rPr>
          <w:rFonts w:cstheme="minorHAnsi"/>
          <w:lang w:eastAsia="en-NZ"/>
        </w:rPr>
        <w:t>i.e.</w:t>
      </w:r>
      <w:r w:rsidRPr="00F259E4">
        <w:rPr>
          <w:rFonts w:cstheme="minorHAnsi"/>
          <w:lang w:eastAsia="en-NZ"/>
        </w:rPr>
        <w:t xml:space="preserve"> plantation forest owners) who should be managing the safe planting of their trees without relying on  EDBs to manage them, which ultimately moves the cost of those activities onto EDB consumers. </w:t>
      </w:r>
    </w:p>
    <w:p w14:paraId="50ACE9B1" w14:textId="77777777" w:rsidR="00834095" w:rsidRDefault="001D06E3" w:rsidP="00273087">
      <w:pPr>
        <w:pStyle w:val="ListParagraph"/>
        <w:numPr>
          <w:ilvl w:val="0"/>
          <w:numId w:val="15"/>
        </w:numPr>
        <w:ind w:left="851" w:hanging="425"/>
        <w:contextualSpacing w:val="0"/>
        <w:rPr>
          <w:rFonts w:cstheme="minorHAnsi"/>
          <w:lang w:eastAsia="en-NZ"/>
        </w:rPr>
      </w:pPr>
      <w:r w:rsidRPr="00F259E4">
        <w:rPr>
          <w:rFonts w:cstheme="minorHAnsi"/>
          <w:lang w:eastAsia="en-NZ"/>
        </w:rPr>
        <w:t xml:space="preserve">The tree-related costs can vary depending on the nature of the network and the amount of vegetation in the area, but can be as high as $120 per consumer connection per annum. </w:t>
      </w:r>
    </w:p>
    <w:p w14:paraId="33F4D5F6" w14:textId="600EB89A" w:rsidR="006E7BA7" w:rsidRPr="00463B76" w:rsidRDefault="001D06E3" w:rsidP="00273087">
      <w:pPr>
        <w:pStyle w:val="ListParagraph"/>
        <w:numPr>
          <w:ilvl w:val="0"/>
          <w:numId w:val="15"/>
        </w:numPr>
        <w:ind w:left="851" w:hanging="425"/>
        <w:contextualSpacing w:val="0"/>
        <w:rPr>
          <w:rFonts w:cstheme="minorHAnsi"/>
          <w:lang w:eastAsia="en-NZ"/>
        </w:rPr>
      </w:pPr>
      <w:r w:rsidRPr="00F259E4">
        <w:rPr>
          <w:rFonts w:cstheme="minorHAnsi"/>
          <w:lang w:eastAsia="en-NZ"/>
        </w:rPr>
        <w:t xml:space="preserve">ENA has been requesting MBIE review the </w:t>
      </w:r>
      <w:r w:rsidR="00834095">
        <w:rPr>
          <w:rFonts w:cstheme="minorHAnsi"/>
          <w:lang w:eastAsia="en-NZ"/>
        </w:rPr>
        <w:t>t</w:t>
      </w:r>
      <w:r w:rsidRPr="00F259E4">
        <w:rPr>
          <w:rFonts w:cstheme="minorHAnsi"/>
          <w:lang w:eastAsia="en-NZ"/>
        </w:rPr>
        <w:t xml:space="preserve">ree </w:t>
      </w:r>
      <w:r w:rsidR="00834095">
        <w:rPr>
          <w:rFonts w:cstheme="minorHAnsi"/>
          <w:lang w:eastAsia="en-NZ"/>
        </w:rPr>
        <w:t>r</w:t>
      </w:r>
      <w:r w:rsidRPr="00F259E4">
        <w:rPr>
          <w:rFonts w:cstheme="minorHAnsi"/>
          <w:lang w:eastAsia="en-NZ"/>
        </w:rPr>
        <w:t>egs for some time with a view to modernising them and making them more outcomes-focussed and less prescriptive. We believe these costs could be reduced and service reliability improved, perhaps significantly, if the tree regs are reviewed and updated to empower EDBs to make decisions about where best to spend limited resources on vegetation management.</w:t>
      </w:r>
    </w:p>
    <w:p w14:paraId="7024B744" w14:textId="06E042C3" w:rsidR="001408BD" w:rsidRPr="00463B76" w:rsidRDefault="00C9718E" w:rsidP="00273087">
      <w:pPr>
        <w:pStyle w:val="ListParagraph"/>
        <w:numPr>
          <w:ilvl w:val="0"/>
          <w:numId w:val="15"/>
        </w:numPr>
        <w:ind w:left="851" w:hanging="425"/>
        <w:contextualSpacing w:val="0"/>
        <w:rPr>
          <w:rFonts w:cstheme="minorHAnsi"/>
          <w:lang w:eastAsia="en-NZ"/>
        </w:rPr>
      </w:pPr>
      <w:r>
        <w:rPr>
          <w:rFonts w:cstheme="minorHAnsi"/>
          <w:lang w:eastAsia="en-NZ"/>
        </w:rPr>
        <w:t xml:space="preserve">Another long-standing concern is the </w:t>
      </w:r>
      <w:r w:rsidR="00C01BD8">
        <w:rPr>
          <w:rFonts w:cstheme="minorHAnsi"/>
          <w:lang w:eastAsia="en-NZ"/>
        </w:rPr>
        <w:t>uncertainty around customer service lines, which are privately-owned lines typically str</w:t>
      </w:r>
      <w:r w:rsidR="00A07589">
        <w:rPr>
          <w:rFonts w:cstheme="minorHAnsi"/>
          <w:lang w:eastAsia="en-NZ"/>
        </w:rPr>
        <w:t>e</w:t>
      </w:r>
      <w:r w:rsidR="00C01BD8">
        <w:rPr>
          <w:rFonts w:cstheme="minorHAnsi"/>
          <w:lang w:eastAsia="en-NZ"/>
        </w:rPr>
        <w:t xml:space="preserve">tching from a </w:t>
      </w:r>
      <w:r w:rsidR="00A07589">
        <w:rPr>
          <w:rFonts w:cstheme="minorHAnsi"/>
          <w:lang w:eastAsia="en-NZ"/>
        </w:rPr>
        <w:t xml:space="preserve">power pole </w:t>
      </w:r>
      <w:r w:rsidR="00C01BD8">
        <w:rPr>
          <w:rFonts w:cstheme="minorHAnsi"/>
          <w:lang w:eastAsia="en-NZ"/>
        </w:rPr>
        <w:t>outside the p</w:t>
      </w:r>
      <w:r w:rsidR="00A07589">
        <w:rPr>
          <w:rFonts w:cstheme="minorHAnsi"/>
          <w:lang w:eastAsia="en-NZ"/>
        </w:rPr>
        <w:t>roperty</w:t>
      </w:r>
      <w:r w:rsidR="00C01BD8">
        <w:rPr>
          <w:rFonts w:cstheme="minorHAnsi"/>
          <w:lang w:eastAsia="en-NZ"/>
        </w:rPr>
        <w:t xml:space="preserve"> to the bargeboard of a consumer</w:t>
      </w:r>
      <w:r w:rsidR="00A07589">
        <w:rPr>
          <w:rFonts w:cstheme="minorHAnsi"/>
          <w:lang w:eastAsia="en-NZ"/>
        </w:rPr>
        <w:t xml:space="preserve"> dwelling. In a rural context, customer lines could stretch for many hundreds of metres, or kilometres, and include power poles on private land. </w:t>
      </w:r>
    </w:p>
    <w:p w14:paraId="005A34B0" w14:textId="04AFF25A" w:rsidR="001408BD" w:rsidRPr="00463B76" w:rsidRDefault="00F203FF" w:rsidP="00273087">
      <w:pPr>
        <w:pStyle w:val="ListParagraph"/>
        <w:numPr>
          <w:ilvl w:val="0"/>
          <w:numId w:val="15"/>
        </w:numPr>
        <w:ind w:left="851" w:hanging="425"/>
        <w:contextualSpacing w:val="0"/>
        <w:rPr>
          <w:rFonts w:cstheme="minorHAnsi"/>
          <w:lang w:eastAsia="en-NZ"/>
        </w:rPr>
      </w:pPr>
      <w:r>
        <w:rPr>
          <w:rFonts w:cstheme="minorHAnsi"/>
          <w:lang w:eastAsia="en-NZ"/>
        </w:rPr>
        <w:t>As t</w:t>
      </w:r>
      <w:r w:rsidR="001408BD">
        <w:rPr>
          <w:rFonts w:cstheme="minorHAnsi"/>
          <w:lang w:eastAsia="en-NZ"/>
        </w:rPr>
        <w:t>hese assets are</w:t>
      </w:r>
      <w:r>
        <w:rPr>
          <w:rFonts w:cstheme="minorHAnsi"/>
          <w:lang w:eastAsia="en-NZ"/>
        </w:rPr>
        <w:t xml:space="preserve"> often not maintained to a proper standard, there is a growing risk that they will cause harm to people or farm animals</w:t>
      </w:r>
      <w:r w:rsidR="00787BEA">
        <w:rPr>
          <w:rStyle w:val="FootnoteReference"/>
          <w:rFonts w:cstheme="minorHAnsi"/>
          <w:lang w:eastAsia="en-NZ"/>
        </w:rPr>
        <w:footnoteReference w:id="61"/>
      </w:r>
      <w:r>
        <w:rPr>
          <w:rFonts w:cstheme="minorHAnsi"/>
          <w:lang w:eastAsia="en-NZ"/>
        </w:rPr>
        <w:t>, or damage to property.</w:t>
      </w:r>
    </w:p>
    <w:p w14:paraId="7AAA1502" w14:textId="5A9E2947" w:rsidR="00BC03CA" w:rsidRDefault="001408BD" w:rsidP="00273087">
      <w:pPr>
        <w:pStyle w:val="ListParagraph"/>
        <w:numPr>
          <w:ilvl w:val="0"/>
          <w:numId w:val="15"/>
        </w:numPr>
        <w:ind w:left="851" w:hanging="425"/>
        <w:contextualSpacing w:val="0"/>
        <w:rPr>
          <w:rFonts w:cstheme="minorHAnsi"/>
          <w:lang w:eastAsia="en-NZ"/>
        </w:rPr>
      </w:pPr>
      <w:r>
        <w:rPr>
          <w:rFonts w:cstheme="minorHAnsi"/>
          <w:lang w:eastAsia="en-NZ"/>
        </w:rPr>
        <w:t xml:space="preserve">The government needs to </w:t>
      </w:r>
      <w:r w:rsidR="00246270">
        <w:rPr>
          <w:rFonts w:cstheme="minorHAnsi"/>
          <w:lang w:eastAsia="en-NZ"/>
        </w:rPr>
        <w:t xml:space="preserve">review </w:t>
      </w:r>
      <w:r>
        <w:rPr>
          <w:rFonts w:cstheme="minorHAnsi"/>
          <w:lang w:eastAsia="en-NZ"/>
        </w:rPr>
        <w:t xml:space="preserve">urgently the </w:t>
      </w:r>
      <w:r w:rsidR="0003247B">
        <w:rPr>
          <w:rFonts w:cstheme="minorHAnsi"/>
          <w:lang w:eastAsia="en-NZ"/>
        </w:rPr>
        <w:t>legislat</w:t>
      </w:r>
      <w:r w:rsidR="00EE1B32">
        <w:rPr>
          <w:rFonts w:cstheme="minorHAnsi"/>
          <w:lang w:eastAsia="en-NZ"/>
        </w:rPr>
        <w:t xml:space="preserve">ion or regulatory settings to improve the </w:t>
      </w:r>
      <w:r w:rsidR="00C87E66">
        <w:rPr>
          <w:rFonts w:cstheme="minorHAnsi"/>
          <w:lang w:eastAsia="en-NZ"/>
        </w:rPr>
        <w:t xml:space="preserve">reliability and safety of customer lines. </w:t>
      </w:r>
      <w:r w:rsidR="00D728E6">
        <w:rPr>
          <w:rFonts w:cstheme="minorHAnsi"/>
          <w:lang w:eastAsia="en-NZ"/>
        </w:rPr>
        <w:t>Ownership, awareness, and EDBs</w:t>
      </w:r>
      <w:r w:rsidR="00246270">
        <w:rPr>
          <w:rFonts w:cstheme="minorHAnsi"/>
          <w:lang w:eastAsia="en-NZ"/>
        </w:rPr>
        <w:t>’</w:t>
      </w:r>
      <w:r w:rsidR="00D728E6">
        <w:rPr>
          <w:rFonts w:cstheme="minorHAnsi"/>
          <w:lang w:eastAsia="en-NZ"/>
        </w:rPr>
        <w:t xml:space="preserve"> role</w:t>
      </w:r>
      <w:r w:rsidR="00246270">
        <w:rPr>
          <w:rFonts w:cstheme="minorHAnsi"/>
          <w:lang w:eastAsia="en-NZ"/>
        </w:rPr>
        <w:t>s</w:t>
      </w:r>
      <w:r w:rsidR="00D728E6">
        <w:rPr>
          <w:rFonts w:cstheme="minorHAnsi"/>
          <w:lang w:eastAsia="en-NZ"/>
        </w:rPr>
        <w:t xml:space="preserve"> in maintaining customer lines </w:t>
      </w:r>
      <w:r w:rsidR="00BC03CA">
        <w:rPr>
          <w:rFonts w:cstheme="minorHAnsi"/>
          <w:lang w:eastAsia="en-NZ"/>
        </w:rPr>
        <w:t>should be reviewed to ensure that an outcome is reached which results in proper maintenance of these assets and improves the safety of workers and consumers.</w:t>
      </w:r>
    </w:p>
    <w:p w14:paraId="4B418B65" w14:textId="77777777" w:rsidR="00D430E9" w:rsidRPr="00D430E9" w:rsidRDefault="00D430E9" w:rsidP="004B46B2">
      <w:pPr>
        <w:pStyle w:val="ListParagraph"/>
        <w:spacing w:after="0" w:line="240" w:lineRule="auto"/>
        <w:rPr>
          <w:rFonts w:cstheme="minorHAnsi"/>
        </w:rPr>
      </w:pPr>
    </w:p>
    <w:p w14:paraId="51163CD9" w14:textId="1399EC85" w:rsidR="001D06E3" w:rsidRPr="004B46B2" w:rsidRDefault="001D06E3" w:rsidP="004B46B2">
      <w:pPr>
        <w:pStyle w:val="Heading2"/>
        <w:spacing w:after="360"/>
        <w:rPr>
          <w:lang w:eastAsia="en-NZ"/>
        </w:rPr>
      </w:pPr>
      <w:r w:rsidRPr="00F259E4">
        <w:rPr>
          <w:lang w:eastAsia="en-NZ"/>
        </w:rPr>
        <w:t>Recommendation</w:t>
      </w:r>
      <w:r w:rsidR="00335DCD">
        <w:rPr>
          <w:lang w:eastAsia="en-NZ"/>
        </w:rPr>
        <w:t xml:space="preserve"> 5.7</w:t>
      </w:r>
      <w:r w:rsidRPr="00F259E4">
        <w:rPr>
          <w:lang w:eastAsia="en-NZ"/>
        </w:rPr>
        <w:t>:</w:t>
      </w:r>
      <w:r w:rsidR="004B46B2">
        <w:rPr>
          <w:lang w:eastAsia="en-NZ"/>
        </w:rPr>
        <w:t xml:space="preserve"> </w:t>
      </w:r>
      <w:r w:rsidR="00642547">
        <w:rPr>
          <w:lang w:eastAsia="en-NZ"/>
        </w:rPr>
        <w:t>T</w:t>
      </w:r>
      <w:r w:rsidRPr="00F259E4">
        <w:rPr>
          <w:lang w:eastAsia="en-NZ"/>
        </w:rPr>
        <w:t>hat the Panel support</w:t>
      </w:r>
      <w:r w:rsidR="001D0053">
        <w:rPr>
          <w:lang w:eastAsia="en-NZ"/>
        </w:rPr>
        <w:t>s</w:t>
      </w:r>
      <w:r w:rsidRPr="00F259E4">
        <w:rPr>
          <w:lang w:eastAsia="en-NZ"/>
        </w:rPr>
        <w:t xml:space="preserve"> a review of the Electricity (Hazards from Trees) Regulations 2003 which results in more effective methods of managing vegetation at risk of disrupting electricity supply, and reduces network operating costs (and therefore consumer bills).</w:t>
      </w:r>
    </w:p>
    <w:p w14:paraId="5D2939CE" w14:textId="77777777" w:rsidR="001D06E3" w:rsidRPr="00F259E4" w:rsidRDefault="001D06E3" w:rsidP="009F4766">
      <w:pPr>
        <w:jc w:val="both"/>
        <w:rPr>
          <w:rFonts w:cstheme="minorHAnsi"/>
          <w:b/>
          <w:color w:val="000000" w:themeColor="text1"/>
          <w:lang w:eastAsia="en-NZ"/>
        </w:rPr>
      </w:pPr>
      <w:r w:rsidRPr="00F259E4">
        <w:rPr>
          <w:rFonts w:cstheme="minorHAnsi"/>
          <w:b/>
          <w:color w:val="000000" w:themeColor="text1"/>
          <w:lang w:eastAsia="en-NZ"/>
        </w:rPr>
        <w:t>Other Matters</w:t>
      </w:r>
    </w:p>
    <w:p w14:paraId="119B8009" w14:textId="77777777" w:rsidR="001D06E3" w:rsidRPr="00F259E4" w:rsidRDefault="001D06E3" w:rsidP="00D310C4">
      <w:pPr>
        <w:rPr>
          <w:rFonts w:cstheme="minorHAnsi"/>
          <w:b/>
          <w:color w:val="000000" w:themeColor="text1"/>
          <w:lang w:eastAsia="en-NZ"/>
        </w:rPr>
      </w:pPr>
      <w:r w:rsidRPr="00F259E4">
        <w:rPr>
          <w:rFonts w:cstheme="minorHAnsi"/>
          <w:b/>
          <w:color w:val="000000" w:themeColor="text1"/>
          <w:lang w:eastAsia="en-NZ"/>
        </w:rPr>
        <w:t>On page 79 of the issues paper, the EPR invites views on a range of other regulatory-related points, which ENA will comment on in turn:</w:t>
      </w:r>
    </w:p>
    <w:p w14:paraId="158B97D6" w14:textId="77777777" w:rsidR="001D06E3" w:rsidRPr="00F259E4" w:rsidRDefault="001D06E3" w:rsidP="00D310C4">
      <w:pPr>
        <w:rPr>
          <w:rFonts w:cstheme="minorHAnsi"/>
          <w:b/>
          <w:color w:val="000000" w:themeColor="text1"/>
          <w:lang w:eastAsia="en-NZ"/>
        </w:rPr>
      </w:pPr>
      <w:r w:rsidRPr="00F259E4">
        <w:rPr>
          <w:rFonts w:cstheme="minorHAnsi"/>
          <w:b/>
          <w:color w:val="000000" w:themeColor="text1"/>
          <w:lang w:eastAsia="en-NZ"/>
        </w:rPr>
        <w:t>Consumer voice – difficult for ordinary consumers or consumer advocacy groups to participate in regulatory consultation processes, including judicial or merits reviews.</w:t>
      </w:r>
    </w:p>
    <w:p w14:paraId="458549A8" w14:textId="2584E874" w:rsidR="001D06E3" w:rsidRPr="004B46B2" w:rsidRDefault="001D06E3" w:rsidP="00273087">
      <w:pPr>
        <w:pStyle w:val="ListParagraph"/>
        <w:numPr>
          <w:ilvl w:val="0"/>
          <w:numId w:val="24"/>
        </w:numPr>
        <w:ind w:left="850" w:hanging="425"/>
        <w:contextualSpacing w:val="0"/>
        <w:rPr>
          <w:rFonts w:cstheme="minorHAnsi"/>
          <w:color w:val="000000" w:themeColor="text1"/>
          <w:lang w:eastAsia="en-NZ"/>
        </w:rPr>
      </w:pPr>
      <w:r w:rsidRPr="00F259E4">
        <w:rPr>
          <w:rFonts w:cstheme="minorHAnsi"/>
          <w:color w:val="000000" w:themeColor="text1"/>
          <w:lang w:eastAsia="en-NZ"/>
        </w:rPr>
        <w:lastRenderedPageBreak/>
        <w:t>ENA agrees that the ordinary consumer struggles to have a ‘voice’ in a complex sector. This is discussed in part three of this submission.</w:t>
      </w:r>
    </w:p>
    <w:p w14:paraId="113F923F" w14:textId="46BE684B" w:rsidR="001D06E3" w:rsidRPr="00D430E9" w:rsidRDefault="001D06E3" w:rsidP="00273087">
      <w:pPr>
        <w:pStyle w:val="ListParagraph"/>
        <w:numPr>
          <w:ilvl w:val="0"/>
          <w:numId w:val="24"/>
        </w:numPr>
        <w:ind w:left="850" w:hanging="425"/>
        <w:contextualSpacing w:val="0"/>
        <w:rPr>
          <w:rFonts w:cstheme="minorHAnsi"/>
          <w:color w:val="000000" w:themeColor="text1"/>
          <w:lang w:eastAsia="en-NZ"/>
        </w:rPr>
      </w:pPr>
      <w:r w:rsidRPr="00F259E4">
        <w:rPr>
          <w:rFonts w:cstheme="minorHAnsi"/>
          <w:color w:val="000000" w:themeColor="text1"/>
          <w:lang w:eastAsia="en-NZ"/>
        </w:rPr>
        <w:t>Information disclosure is one way for consumers to learn more about the sector, and the regulators have been investing in improved ways of presenting this information in a consumer-friendly format (</w:t>
      </w:r>
      <w:r w:rsidR="00891314" w:rsidRPr="00F259E4">
        <w:rPr>
          <w:rFonts w:cstheme="minorHAnsi"/>
          <w:color w:val="000000" w:themeColor="text1"/>
          <w:lang w:eastAsia="en-NZ"/>
        </w:rPr>
        <w:t>e.g.</w:t>
      </w:r>
      <w:r w:rsidR="00891314">
        <w:rPr>
          <w:rFonts w:cstheme="minorHAnsi"/>
          <w:color w:val="000000" w:themeColor="text1"/>
          <w:lang w:eastAsia="en-NZ"/>
        </w:rPr>
        <w:t xml:space="preserve"> </w:t>
      </w:r>
      <w:r w:rsidRPr="00F259E4">
        <w:rPr>
          <w:rFonts w:cstheme="minorHAnsi"/>
          <w:color w:val="000000" w:themeColor="text1"/>
          <w:lang w:eastAsia="en-NZ"/>
        </w:rPr>
        <w:t>dash boards).</w:t>
      </w:r>
    </w:p>
    <w:p w14:paraId="24090DC2" w14:textId="75BD3260" w:rsidR="001D06E3" w:rsidRPr="00D430E9" w:rsidRDefault="001D06E3" w:rsidP="00273087">
      <w:pPr>
        <w:pStyle w:val="ListParagraph"/>
        <w:numPr>
          <w:ilvl w:val="0"/>
          <w:numId w:val="24"/>
        </w:numPr>
        <w:ind w:left="850" w:hanging="425"/>
        <w:contextualSpacing w:val="0"/>
        <w:rPr>
          <w:rFonts w:cstheme="minorHAnsi"/>
          <w:color w:val="000000" w:themeColor="text1"/>
          <w:lang w:eastAsia="en-NZ"/>
        </w:rPr>
      </w:pPr>
      <w:r w:rsidRPr="00F259E4">
        <w:rPr>
          <w:rFonts w:cstheme="minorHAnsi"/>
          <w:color w:val="000000" w:themeColor="text1"/>
          <w:lang w:eastAsia="en-NZ"/>
        </w:rPr>
        <w:t>That said, we would note that while EDBs and Transpower are subject to robust information disclosure processes, no comparable level of transparency exists in the generation and retailing sectors.</w:t>
      </w:r>
    </w:p>
    <w:p w14:paraId="0A61A2B2" w14:textId="77777777" w:rsidR="001D06E3" w:rsidRPr="00F259E4" w:rsidRDefault="001D06E3" w:rsidP="00273087">
      <w:pPr>
        <w:pStyle w:val="ListParagraph"/>
        <w:numPr>
          <w:ilvl w:val="0"/>
          <w:numId w:val="24"/>
        </w:numPr>
        <w:spacing w:after="240"/>
        <w:ind w:left="850" w:hanging="425"/>
        <w:contextualSpacing w:val="0"/>
        <w:rPr>
          <w:rFonts w:cstheme="minorHAnsi"/>
          <w:color w:val="000000" w:themeColor="text1"/>
          <w:lang w:eastAsia="en-NZ"/>
        </w:rPr>
      </w:pPr>
      <w:r w:rsidRPr="00F259E4">
        <w:rPr>
          <w:rFonts w:cstheme="minorHAnsi"/>
          <w:color w:val="000000" w:themeColor="text1"/>
          <w:lang w:eastAsia="en-NZ"/>
        </w:rPr>
        <w:t>Some mechanism by which regular consumers, or consumer representatives, can either inspect or oversee the regulatory processes that apply to those sectors of the market may help to enhance consumer confidence in the industry as a whole.</w:t>
      </w:r>
    </w:p>
    <w:p w14:paraId="5EAB4A9F" w14:textId="67BBE56A" w:rsidR="001D06E3" w:rsidRPr="00F259E4" w:rsidRDefault="001D06E3" w:rsidP="000B2A76">
      <w:pPr>
        <w:spacing w:after="60"/>
        <w:jc w:val="both"/>
        <w:rPr>
          <w:rFonts w:cstheme="minorHAnsi"/>
          <w:color w:val="000000" w:themeColor="text1"/>
          <w:lang w:eastAsia="en-NZ"/>
        </w:rPr>
      </w:pPr>
      <w:r w:rsidRPr="00F259E4">
        <w:rPr>
          <w:rFonts w:cstheme="minorHAnsi"/>
          <w:b/>
          <w:color w:val="000000" w:themeColor="text1"/>
          <w:lang w:eastAsia="en-NZ"/>
        </w:rPr>
        <w:t>Pace of change – too long to change regulatory settings and third-tier rules (</w:t>
      </w:r>
      <w:r w:rsidR="0085381C">
        <w:rPr>
          <w:rFonts w:cstheme="minorHAnsi"/>
          <w:b/>
          <w:color w:val="000000" w:themeColor="text1"/>
          <w:lang w:eastAsia="en-NZ"/>
        </w:rPr>
        <w:t>e.g.</w:t>
      </w:r>
      <w:r w:rsidRPr="00F259E4">
        <w:rPr>
          <w:rFonts w:cstheme="minorHAnsi"/>
          <w:b/>
          <w:color w:val="000000" w:themeColor="text1"/>
          <w:lang w:eastAsia="en-NZ"/>
        </w:rPr>
        <w:t xml:space="preserve"> the Code). </w:t>
      </w:r>
    </w:p>
    <w:p w14:paraId="6C5AAC4C" w14:textId="77777777" w:rsidR="001D06E3" w:rsidRPr="00F259E4" w:rsidRDefault="001D06E3" w:rsidP="00273087">
      <w:pPr>
        <w:pStyle w:val="ListParagraph"/>
        <w:numPr>
          <w:ilvl w:val="0"/>
          <w:numId w:val="25"/>
        </w:numPr>
        <w:spacing w:after="240"/>
        <w:ind w:left="850" w:hanging="425"/>
        <w:contextualSpacing w:val="0"/>
        <w:jc w:val="both"/>
        <w:rPr>
          <w:rFonts w:cstheme="minorHAnsi"/>
          <w:color w:val="000000" w:themeColor="text1"/>
          <w:lang w:eastAsia="en-NZ"/>
        </w:rPr>
      </w:pPr>
      <w:r w:rsidRPr="00F259E4">
        <w:rPr>
          <w:rFonts w:cstheme="minorHAnsi"/>
          <w:color w:val="000000" w:themeColor="text1"/>
          <w:lang w:eastAsia="en-NZ"/>
        </w:rPr>
        <w:t>Agreed – see comments regarding pace of regulatory change under question 32.</w:t>
      </w:r>
    </w:p>
    <w:p w14:paraId="6D90C715" w14:textId="77777777" w:rsidR="001D06E3" w:rsidRPr="00F259E4" w:rsidRDefault="001D06E3" w:rsidP="000B2A76">
      <w:pPr>
        <w:spacing w:after="60"/>
        <w:jc w:val="both"/>
        <w:rPr>
          <w:rFonts w:cstheme="minorHAnsi"/>
          <w:color w:val="000000" w:themeColor="text1"/>
          <w:lang w:eastAsia="en-NZ"/>
        </w:rPr>
      </w:pPr>
      <w:r w:rsidRPr="00F259E4">
        <w:rPr>
          <w:rFonts w:cstheme="minorHAnsi"/>
          <w:b/>
          <w:color w:val="000000" w:themeColor="text1"/>
          <w:lang w:eastAsia="en-NZ"/>
        </w:rPr>
        <w:t>Authority functions – stakeholders say that should separate rule-maker from rule enforcer.</w:t>
      </w:r>
    </w:p>
    <w:p w14:paraId="373F3737" w14:textId="3BB55A3C" w:rsidR="001D06E3" w:rsidRPr="00D430E9" w:rsidRDefault="00750BBD" w:rsidP="00273087">
      <w:pPr>
        <w:pStyle w:val="ListParagraph"/>
        <w:numPr>
          <w:ilvl w:val="0"/>
          <w:numId w:val="25"/>
        </w:numPr>
        <w:spacing w:after="240"/>
        <w:ind w:left="850" w:hanging="425"/>
        <w:contextualSpacing w:val="0"/>
        <w:jc w:val="both"/>
        <w:rPr>
          <w:rFonts w:cstheme="minorHAnsi"/>
          <w:color w:val="000000" w:themeColor="text1"/>
          <w:lang w:eastAsia="en-NZ"/>
        </w:rPr>
      </w:pPr>
      <w:r>
        <w:rPr>
          <w:rFonts w:cstheme="minorHAnsi"/>
          <w:color w:val="000000" w:themeColor="text1"/>
          <w:lang w:eastAsia="en-NZ"/>
        </w:rPr>
        <w:t>See our recommendation 5.4 above</w:t>
      </w:r>
      <w:r w:rsidR="001D06E3" w:rsidRPr="00F259E4">
        <w:rPr>
          <w:rFonts w:cstheme="minorHAnsi"/>
          <w:color w:val="000000" w:themeColor="text1"/>
          <w:lang w:eastAsia="en-NZ"/>
        </w:rPr>
        <w:t>.</w:t>
      </w:r>
    </w:p>
    <w:p w14:paraId="0F360184" w14:textId="77777777" w:rsidR="001D06E3" w:rsidRPr="00F259E4" w:rsidRDefault="001D06E3" w:rsidP="000B2A76">
      <w:pPr>
        <w:spacing w:after="60"/>
        <w:jc w:val="both"/>
        <w:rPr>
          <w:rFonts w:cstheme="minorHAnsi"/>
          <w:b/>
          <w:color w:val="000000" w:themeColor="text1"/>
          <w:lang w:eastAsia="en-NZ"/>
        </w:rPr>
      </w:pPr>
      <w:r w:rsidRPr="00F259E4">
        <w:rPr>
          <w:rFonts w:cstheme="minorHAnsi"/>
          <w:b/>
          <w:color w:val="000000" w:themeColor="text1"/>
          <w:lang w:eastAsia="en-NZ"/>
        </w:rPr>
        <w:t>Authority decisions – EA decisions should be subject to challenge in the courts?</w:t>
      </w:r>
    </w:p>
    <w:p w14:paraId="4529D3E8" w14:textId="7C2FBE2B" w:rsidR="001D06E3" w:rsidRPr="004B46B2" w:rsidRDefault="001D06E3" w:rsidP="00273087">
      <w:pPr>
        <w:pStyle w:val="ListParagraph"/>
        <w:numPr>
          <w:ilvl w:val="0"/>
          <w:numId w:val="25"/>
        </w:numPr>
        <w:spacing w:after="240"/>
        <w:ind w:left="850" w:hanging="425"/>
        <w:contextualSpacing w:val="0"/>
        <w:rPr>
          <w:rFonts w:cstheme="minorHAnsi"/>
          <w:color w:val="000000" w:themeColor="text1"/>
          <w:lang w:eastAsia="en-NZ"/>
        </w:rPr>
      </w:pPr>
      <w:r w:rsidRPr="00F259E4">
        <w:rPr>
          <w:rFonts w:cstheme="minorHAnsi"/>
          <w:color w:val="000000" w:themeColor="text1"/>
          <w:lang w:eastAsia="en-NZ"/>
        </w:rPr>
        <w:t>ENA supports the ability for energy sector participants and consumers to challenge the merits of Electricity Authority decisions in the courts. This is the same rule that applies to the Commerce Commission. We would note that, over the past five years, there has been a marked decrease in court action taken by energy companies against the Commission.</w:t>
      </w:r>
    </w:p>
    <w:p w14:paraId="26C61B13" w14:textId="14F38629" w:rsidR="001D06E3" w:rsidRPr="000B2A76" w:rsidRDefault="001D06E3" w:rsidP="000B2A76">
      <w:pPr>
        <w:spacing w:after="60"/>
        <w:jc w:val="both"/>
        <w:rPr>
          <w:rFonts w:cstheme="minorHAnsi"/>
          <w:b/>
          <w:bCs/>
          <w:color w:val="000000" w:themeColor="text1"/>
          <w:lang w:eastAsia="en-NZ"/>
        </w:rPr>
      </w:pPr>
      <w:r w:rsidRPr="00F259E4">
        <w:rPr>
          <w:rFonts w:cstheme="minorHAnsi"/>
          <w:b/>
          <w:color w:val="000000" w:themeColor="text1"/>
          <w:lang w:eastAsia="en-NZ"/>
        </w:rPr>
        <w:t>Regulatory costs – EA and ComCom spent $25.6 mil on regulatory functions – thoughts?</w:t>
      </w:r>
    </w:p>
    <w:p w14:paraId="19097D8C" w14:textId="77777777" w:rsidR="001D06E3" w:rsidRPr="00F259E4" w:rsidRDefault="001D06E3" w:rsidP="00273087">
      <w:pPr>
        <w:pStyle w:val="ListParagraph"/>
        <w:numPr>
          <w:ilvl w:val="0"/>
          <w:numId w:val="25"/>
        </w:numPr>
        <w:spacing w:after="60"/>
        <w:ind w:left="851" w:hanging="425"/>
        <w:jc w:val="both"/>
        <w:rPr>
          <w:rFonts w:cstheme="minorHAnsi"/>
          <w:color w:val="000000" w:themeColor="text1"/>
          <w:lang w:eastAsia="en-NZ"/>
        </w:rPr>
      </w:pPr>
      <w:r w:rsidRPr="00F259E4">
        <w:rPr>
          <w:rFonts w:cstheme="minorHAnsi"/>
          <w:color w:val="000000" w:themeColor="text1"/>
          <w:lang w:eastAsia="en-NZ"/>
        </w:rPr>
        <w:t>We refer you to our answer to question 30 above.</w:t>
      </w:r>
    </w:p>
    <w:p w14:paraId="666F872D" w14:textId="29F86D5F" w:rsidR="001D06E3" w:rsidRPr="000B2A76" w:rsidRDefault="001D06E3" w:rsidP="000B2A76">
      <w:pPr>
        <w:spacing w:after="120"/>
        <w:jc w:val="both"/>
        <w:rPr>
          <w:rFonts w:cstheme="minorHAnsi"/>
          <w:b/>
          <w:color w:val="000000" w:themeColor="text1"/>
          <w:lang w:eastAsia="en-NZ"/>
        </w:rPr>
      </w:pPr>
      <w:r w:rsidRPr="00F259E4">
        <w:rPr>
          <w:rFonts w:cstheme="minorHAnsi"/>
          <w:color w:val="000000" w:themeColor="text1"/>
          <w:lang w:eastAsia="en-NZ"/>
        </w:rPr>
        <w:br/>
      </w:r>
      <w:r w:rsidRPr="00F259E4">
        <w:rPr>
          <w:rFonts w:cstheme="minorHAnsi"/>
          <w:b/>
          <w:color w:val="000000" w:themeColor="text1"/>
          <w:lang w:eastAsia="en-NZ"/>
        </w:rPr>
        <w:t>Input methodologies – not minded to re-examine input methodologies, transmission and distribution asset values, and the WACC.</w:t>
      </w:r>
    </w:p>
    <w:p w14:paraId="57DB9026" w14:textId="6DEDDCE0" w:rsidR="001D06E3" w:rsidRPr="000B2A76" w:rsidRDefault="001D06E3" w:rsidP="00273087">
      <w:pPr>
        <w:pStyle w:val="ListParagraph"/>
        <w:numPr>
          <w:ilvl w:val="0"/>
          <w:numId w:val="25"/>
        </w:numPr>
        <w:ind w:left="851" w:hanging="425"/>
        <w:contextualSpacing w:val="0"/>
        <w:rPr>
          <w:rFonts w:cstheme="minorHAnsi"/>
          <w:color w:val="000000" w:themeColor="text1"/>
          <w:lang w:eastAsia="en-NZ"/>
        </w:rPr>
      </w:pPr>
      <w:r w:rsidRPr="00F259E4">
        <w:rPr>
          <w:rFonts w:cstheme="minorHAnsi"/>
          <w:color w:val="000000" w:themeColor="text1"/>
          <w:lang w:eastAsia="en-NZ"/>
        </w:rPr>
        <w:t xml:space="preserve">ENA strongly agrees with the </w:t>
      </w:r>
      <w:r w:rsidR="000C2437">
        <w:rPr>
          <w:rFonts w:cstheme="minorHAnsi"/>
          <w:color w:val="000000" w:themeColor="text1"/>
          <w:lang w:eastAsia="en-NZ"/>
        </w:rPr>
        <w:t>Panel</w:t>
      </w:r>
      <w:r w:rsidRPr="00F259E4">
        <w:rPr>
          <w:rFonts w:cstheme="minorHAnsi"/>
          <w:color w:val="000000" w:themeColor="text1"/>
          <w:lang w:eastAsia="en-NZ"/>
        </w:rPr>
        <w:t xml:space="preserve"> that, given its assessment that Part 4 and </w:t>
      </w:r>
      <w:r w:rsidR="000C2437">
        <w:rPr>
          <w:rFonts w:cstheme="minorHAnsi"/>
          <w:color w:val="000000" w:themeColor="text1"/>
          <w:lang w:eastAsia="en-NZ"/>
        </w:rPr>
        <w:t>p</w:t>
      </w:r>
      <w:r w:rsidRPr="00F259E4">
        <w:rPr>
          <w:rFonts w:cstheme="minorHAnsi"/>
          <w:color w:val="000000" w:themeColor="text1"/>
          <w:lang w:eastAsia="en-NZ"/>
        </w:rPr>
        <w:t xml:space="preserve">rice </w:t>
      </w:r>
      <w:r w:rsidR="000C2437">
        <w:rPr>
          <w:rFonts w:cstheme="minorHAnsi"/>
          <w:color w:val="000000" w:themeColor="text1"/>
          <w:lang w:eastAsia="en-NZ"/>
        </w:rPr>
        <w:t>q</w:t>
      </w:r>
      <w:r w:rsidRPr="00F259E4">
        <w:rPr>
          <w:rFonts w:cstheme="minorHAnsi"/>
          <w:color w:val="000000" w:themeColor="text1"/>
          <w:lang w:eastAsia="en-NZ"/>
        </w:rPr>
        <w:t>uality regulation are generally working well, it would be wise to not reopen the input methodologies</w:t>
      </w:r>
      <w:r w:rsidR="004B2657">
        <w:rPr>
          <w:rFonts w:cstheme="minorHAnsi"/>
          <w:color w:val="000000" w:themeColor="text1"/>
          <w:lang w:eastAsia="en-NZ"/>
        </w:rPr>
        <w:t>,</w:t>
      </w:r>
      <w:r w:rsidRPr="00F259E4">
        <w:rPr>
          <w:rFonts w:cstheme="minorHAnsi"/>
          <w:color w:val="000000" w:themeColor="text1"/>
          <w:lang w:eastAsia="en-NZ"/>
        </w:rPr>
        <w:t xml:space="preserve"> transmission and distribution asset values</w:t>
      </w:r>
      <w:r w:rsidR="004B2657">
        <w:rPr>
          <w:rFonts w:cstheme="minorHAnsi"/>
          <w:color w:val="000000" w:themeColor="text1"/>
          <w:lang w:eastAsia="en-NZ"/>
        </w:rPr>
        <w:t>,</w:t>
      </w:r>
      <w:r w:rsidRPr="00F259E4">
        <w:rPr>
          <w:rFonts w:cstheme="minorHAnsi"/>
          <w:color w:val="000000" w:themeColor="text1"/>
          <w:lang w:eastAsia="en-NZ"/>
        </w:rPr>
        <w:t xml:space="preserve"> and the WACC. </w:t>
      </w:r>
    </w:p>
    <w:p w14:paraId="1D35F725" w14:textId="611E4172" w:rsidR="001D06E3" w:rsidRPr="00F259E4" w:rsidRDefault="001D06E3" w:rsidP="00273087">
      <w:pPr>
        <w:pStyle w:val="ListParagraph"/>
        <w:numPr>
          <w:ilvl w:val="0"/>
          <w:numId w:val="25"/>
        </w:numPr>
        <w:spacing w:after="60"/>
        <w:ind w:left="851" w:hanging="425"/>
        <w:rPr>
          <w:rFonts w:cstheme="minorHAnsi"/>
          <w:b/>
          <w:color w:val="000000" w:themeColor="text1"/>
          <w:lang w:eastAsia="en-NZ"/>
        </w:rPr>
      </w:pPr>
      <w:r w:rsidRPr="00F259E4">
        <w:rPr>
          <w:rFonts w:cstheme="minorHAnsi"/>
          <w:color w:val="000000" w:themeColor="text1"/>
          <w:lang w:eastAsia="en-NZ"/>
        </w:rPr>
        <w:t xml:space="preserve">These items have been reviewed by many parties and subject to the consideration of the </w:t>
      </w:r>
      <w:r w:rsidR="004B2657">
        <w:rPr>
          <w:rFonts w:cstheme="minorHAnsi"/>
          <w:color w:val="000000" w:themeColor="text1"/>
          <w:lang w:eastAsia="en-NZ"/>
        </w:rPr>
        <w:t>c</w:t>
      </w:r>
      <w:r w:rsidRPr="00F259E4">
        <w:rPr>
          <w:rFonts w:cstheme="minorHAnsi"/>
          <w:color w:val="000000" w:themeColor="text1"/>
          <w:lang w:eastAsia="en-NZ"/>
        </w:rPr>
        <w:t>ourts. It is unlikely that a review by the Panel</w:t>
      </w:r>
      <w:r w:rsidR="004B2657">
        <w:rPr>
          <w:rFonts w:cstheme="minorHAnsi"/>
          <w:color w:val="000000" w:themeColor="text1"/>
          <w:lang w:eastAsia="en-NZ"/>
        </w:rPr>
        <w:t xml:space="preserve">, </w:t>
      </w:r>
      <w:r w:rsidRPr="00F259E4">
        <w:rPr>
          <w:rFonts w:cstheme="minorHAnsi"/>
          <w:color w:val="000000" w:themeColor="text1"/>
          <w:lang w:eastAsia="en-NZ"/>
        </w:rPr>
        <w:t>given time and resource constraints</w:t>
      </w:r>
      <w:r w:rsidR="00355D44">
        <w:rPr>
          <w:rFonts w:cstheme="minorHAnsi"/>
          <w:color w:val="000000" w:themeColor="text1"/>
          <w:lang w:eastAsia="en-NZ"/>
        </w:rPr>
        <w:t>,</w:t>
      </w:r>
      <w:r w:rsidRPr="00F259E4">
        <w:rPr>
          <w:rFonts w:cstheme="minorHAnsi"/>
          <w:color w:val="000000" w:themeColor="text1"/>
          <w:lang w:eastAsia="en-NZ"/>
        </w:rPr>
        <w:t xml:space="preserve"> could recommend changes to these rules that would material</w:t>
      </w:r>
      <w:r w:rsidR="00355D44">
        <w:rPr>
          <w:rFonts w:cstheme="minorHAnsi"/>
          <w:color w:val="000000" w:themeColor="text1"/>
          <w:lang w:eastAsia="en-NZ"/>
        </w:rPr>
        <w:t>ly</w:t>
      </w:r>
      <w:r w:rsidRPr="00F259E4">
        <w:rPr>
          <w:rFonts w:cstheme="minorHAnsi"/>
          <w:color w:val="000000" w:themeColor="text1"/>
          <w:lang w:eastAsia="en-NZ"/>
        </w:rPr>
        <w:t xml:space="preserve"> improve these processes, and the scope for well-intentioned but ultimately damaging changes is large.</w:t>
      </w:r>
    </w:p>
    <w:p w14:paraId="3A570B27" w14:textId="77777777" w:rsidR="001D06E3" w:rsidRPr="00F259E4" w:rsidRDefault="001D06E3" w:rsidP="001D06E3">
      <w:pPr>
        <w:jc w:val="both"/>
        <w:rPr>
          <w:rStyle w:val="Strong"/>
          <w:rFonts w:cstheme="minorHAnsi"/>
          <w:b w:val="0"/>
          <w:i w:val="0"/>
          <w:color w:val="000000" w:themeColor="text1"/>
          <w:sz w:val="22"/>
          <w:szCs w:val="22"/>
        </w:rPr>
      </w:pPr>
    </w:p>
    <w:p w14:paraId="5184D39A" w14:textId="77777777" w:rsidR="007567C1" w:rsidRDefault="007567C1">
      <w:pPr>
        <w:rPr>
          <w:rFonts w:ascii="Calibri" w:eastAsiaTheme="majorEastAsia" w:hAnsi="Calibri" w:cstheme="majorBidi"/>
          <w:b/>
          <w:bCs/>
          <w:color w:val="00A3DB"/>
          <w:sz w:val="26"/>
          <w:szCs w:val="26"/>
        </w:rPr>
      </w:pPr>
      <w:r>
        <w:br w:type="page"/>
      </w:r>
    </w:p>
    <w:p w14:paraId="3853A04C" w14:textId="2799C770" w:rsidR="001D06E3" w:rsidRPr="00F259E4" w:rsidRDefault="001D06E3" w:rsidP="00680BAB">
      <w:pPr>
        <w:pStyle w:val="Heading2"/>
      </w:pPr>
      <w:r w:rsidRPr="00F259E4">
        <w:lastRenderedPageBreak/>
        <w:t>Summary of feedback on Part five</w:t>
      </w:r>
    </w:p>
    <w:p w14:paraId="7B39683C" w14:textId="77777777" w:rsidR="001D06E3" w:rsidRPr="00F259E4" w:rsidRDefault="001D06E3" w:rsidP="00273087">
      <w:pPr>
        <w:pStyle w:val="ListParagraph"/>
        <w:numPr>
          <w:ilvl w:val="0"/>
          <w:numId w:val="55"/>
        </w:numPr>
        <w:ind w:left="426" w:hanging="426"/>
        <w:contextualSpacing w:val="0"/>
        <w:rPr>
          <w:rFonts w:cstheme="minorHAnsi"/>
          <w:b/>
        </w:rPr>
      </w:pPr>
      <w:r w:rsidRPr="00F259E4">
        <w:rPr>
          <w:rFonts w:cstheme="minorHAnsi"/>
          <w:b/>
        </w:rPr>
        <w:t>Please summarise your key points on Part five.</w:t>
      </w:r>
    </w:p>
    <w:p w14:paraId="115BF6B3" w14:textId="38DE9269" w:rsidR="006D00B8" w:rsidRPr="007567C1" w:rsidRDefault="00A57490"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6D00B8">
        <w:rPr>
          <w:rFonts w:cstheme="minorHAnsi"/>
          <w:color w:val="000000" w:themeColor="text1"/>
          <w:lang w:eastAsia="en-NZ"/>
        </w:rPr>
        <w:t xml:space="preserve">New technologies are becoming increasingly available to consumers that will </w:t>
      </w:r>
      <w:r w:rsidR="004D2204" w:rsidRPr="006D00B8">
        <w:rPr>
          <w:rFonts w:cstheme="minorHAnsi"/>
          <w:color w:val="000000" w:themeColor="text1"/>
          <w:lang w:eastAsia="en-NZ"/>
        </w:rPr>
        <w:t xml:space="preserve">fundamentally </w:t>
      </w:r>
      <w:r w:rsidR="00C52167">
        <w:rPr>
          <w:rFonts w:cstheme="minorHAnsi"/>
          <w:color w:val="000000" w:themeColor="text1"/>
          <w:lang w:eastAsia="en-NZ"/>
        </w:rPr>
        <w:t>alter</w:t>
      </w:r>
      <w:r w:rsidR="004D2204" w:rsidRPr="006D00B8">
        <w:rPr>
          <w:rFonts w:cstheme="minorHAnsi"/>
          <w:color w:val="000000" w:themeColor="text1"/>
          <w:lang w:eastAsia="en-NZ"/>
        </w:rPr>
        <w:t xml:space="preserve"> the way they interact with the electricity system and wider electricity market.</w:t>
      </w:r>
    </w:p>
    <w:p w14:paraId="749E5B38" w14:textId="3A2B802F" w:rsidR="00276C43" w:rsidRPr="007567C1" w:rsidRDefault="00AA04F5"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6D00B8">
        <w:rPr>
          <w:rFonts w:cstheme="minorHAnsi"/>
          <w:color w:val="000000" w:themeColor="text1"/>
          <w:lang w:eastAsia="en-NZ"/>
        </w:rPr>
        <w:t>EDBs play an important role in stimulating and supporting the uptake of these new technologies.</w:t>
      </w:r>
    </w:p>
    <w:p w14:paraId="0F942086" w14:textId="722661EE" w:rsidR="008020CB" w:rsidRPr="007567C1" w:rsidRDefault="00276C43"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6D00B8">
        <w:rPr>
          <w:rFonts w:cstheme="minorHAnsi"/>
          <w:color w:val="000000" w:themeColor="text1"/>
          <w:lang w:eastAsia="en-NZ"/>
        </w:rPr>
        <w:t xml:space="preserve">These emerging technologies are potentially a risk to security of supply, </w:t>
      </w:r>
      <w:r w:rsidR="00D840A1" w:rsidRPr="006D00B8">
        <w:rPr>
          <w:rFonts w:cstheme="minorHAnsi"/>
          <w:color w:val="000000" w:themeColor="text1"/>
          <w:lang w:eastAsia="en-NZ"/>
        </w:rPr>
        <w:t>reliability</w:t>
      </w:r>
      <w:r w:rsidRPr="006D00B8">
        <w:rPr>
          <w:rFonts w:cstheme="minorHAnsi"/>
          <w:color w:val="000000" w:themeColor="text1"/>
          <w:lang w:eastAsia="en-NZ"/>
        </w:rPr>
        <w:t xml:space="preserve"> and pricing</w:t>
      </w:r>
      <w:r w:rsidR="00B132AC">
        <w:rPr>
          <w:rFonts w:cstheme="minorHAnsi"/>
          <w:color w:val="000000" w:themeColor="text1"/>
          <w:lang w:eastAsia="en-NZ"/>
        </w:rPr>
        <w:t>,</w:t>
      </w:r>
      <w:r w:rsidRPr="006D00B8">
        <w:rPr>
          <w:rFonts w:cstheme="minorHAnsi"/>
          <w:color w:val="000000" w:themeColor="text1"/>
          <w:lang w:eastAsia="en-NZ"/>
        </w:rPr>
        <w:t xml:space="preserve"> and EDBs are working collectively and individually to manage these risks</w:t>
      </w:r>
      <w:r w:rsidR="00D840A1" w:rsidRPr="006D00B8">
        <w:rPr>
          <w:rFonts w:cstheme="minorHAnsi"/>
          <w:color w:val="000000" w:themeColor="text1"/>
          <w:lang w:eastAsia="en-NZ"/>
        </w:rPr>
        <w:t>. Better visibility of low</w:t>
      </w:r>
      <w:r w:rsidR="002871AB">
        <w:rPr>
          <w:rFonts w:cstheme="minorHAnsi"/>
          <w:color w:val="000000" w:themeColor="text1"/>
          <w:lang w:eastAsia="en-NZ"/>
        </w:rPr>
        <w:t>-</w:t>
      </w:r>
      <w:r w:rsidR="00D840A1" w:rsidRPr="006D00B8">
        <w:rPr>
          <w:rFonts w:cstheme="minorHAnsi"/>
          <w:color w:val="000000" w:themeColor="text1"/>
          <w:lang w:eastAsia="en-NZ"/>
        </w:rPr>
        <w:t xml:space="preserve">voltage networks, via access to network-related smart meter data, would </w:t>
      </w:r>
      <w:r w:rsidR="008020CB" w:rsidRPr="006D00B8">
        <w:rPr>
          <w:rFonts w:cstheme="minorHAnsi"/>
          <w:color w:val="000000" w:themeColor="text1"/>
          <w:lang w:eastAsia="en-NZ"/>
        </w:rPr>
        <w:t xml:space="preserve">be a significant </w:t>
      </w:r>
      <w:r w:rsidR="00894A5B">
        <w:rPr>
          <w:rFonts w:cstheme="minorHAnsi"/>
          <w:color w:val="000000" w:themeColor="text1"/>
          <w:lang w:eastAsia="en-NZ"/>
        </w:rPr>
        <w:t>help</w:t>
      </w:r>
      <w:r w:rsidR="008020CB" w:rsidRPr="006D00B8">
        <w:rPr>
          <w:rFonts w:cstheme="minorHAnsi"/>
          <w:color w:val="000000" w:themeColor="text1"/>
          <w:lang w:eastAsia="en-NZ"/>
        </w:rPr>
        <w:t>.</w:t>
      </w:r>
    </w:p>
    <w:p w14:paraId="6A2D1AD7" w14:textId="3B480693" w:rsidR="008020CB" w:rsidRPr="007567C1" w:rsidRDefault="008020CB"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6D00B8">
        <w:rPr>
          <w:rFonts w:cstheme="minorHAnsi"/>
          <w:color w:val="000000" w:themeColor="text1"/>
          <w:lang w:eastAsia="en-NZ"/>
        </w:rPr>
        <w:t>Revamped distribution pricing will also help mitigate some of these risks.</w:t>
      </w:r>
    </w:p>
    <w:p w14:paraId="01211043" w14:textId="475588AA" w:rsidR="00961AD3" w:rsidRPr="007567C1" w:rsidRDefault="008020CB"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6D00B8">
        <w:rPr>
          <w:rFonts w:cstheme="minorHAnsi"/>
          <w:color w:val="000000" w:themeColor="text1"/>
          <w:lang w:eastAsia="en-NZ"/>
        </w:rPr>
        <w:t xml:space="preserve">The government should be mindful that any </w:t>
      </w:r>
      <w:r w:rsidR="002741AC" w:rsidRPr="006D00B8">
        <w:rPr>
          <w:rFonts w:cstheme="minorHAnsi"/>
          <w:color w:val="000000" w:themeColor="text1"/>
          <w:lang w:eastAsia="en-NZ"/>
        </w:rPr>
        <w:t>increased costs in the electricity system could be a barrier to electrifying sections of the economy (e.g. process heat, electric vehicles) in pursuit of wider decarbonisation objectives.</w:t>
      </w:r>
      <w:r w:rsidR="00961AD3" w:rsidRPr="006D00B8">
        <w:rPr>
          <w:rFonts w:cstheme="minorHAnsi"/>
          <w:color w:val="000000" w:themeColor="text1"/>
          <w:lang w:eastAsia="en-NZ"/>
        </w:rPr>
        <w:t xml:space="preserve"> The </w:t>
      </w:r>
      <w:r w:rsidR="00B740D9">
        <w:rPr>
          <w:rFonts w:cstheme="minorHAnsi"/>
          <w:color w:val="000000" w:themeColor="text1"/>
          <w:lang w:eastAsia="en-NZ"/>
        </w:rPr>
        <w:t>New Zealand</w:t>
      </w:r>
      <w:r w:rsidR="00961AD3" w:rsidRPr="006D00B8">
        <w:rPr>
          <w:rFonts w:cstheme="minorHAnsi"/>
          <w:color w:val="000000" w:themeColor="text1"/>
          <w:lang w:eastAsia="en-NZ"/>
        </w:rPr>
        <w:t xml:space="preserve"> Emissions Trading Scheme is the best mechanism for the government to achieve its decarbonisation targets at lowest cost.</w:t>
      </w:r>
    </w:p>
    <w:p w14:paraId="75A77744" w14:textId="6AA336B3" w:rsidR="00D840A1" w:rsidRPr="007567C1" w:rsidRDefault="002823D4"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6D00B8">
        <w:rPr>
          <w:rFonts w:cstheme="minorHAnsi"/>
          <w:color w:val="000000" w:themeColor="text1"/>
          <w:lang w:eastAsia="en-NZ"/>
        </w:rPr>
        <w:t xml:space="preserve">The </w:t>
      </w:r>
      <w:r w:rsidR="006D00B8" w:rsidRPr="00980F92">
        <w:rPr>
          <w:rFonts w:cstheme="minorHAnsi"/>
          <w:color w:val="000000" w:themeColor="text1"/>
          <w:lang w:eastAsia="en-NZ"/>
        </w:rPr>
        <w:t xml:space="preserve">Electricity (Low Fixed Charge Tariff </w:t>
      </w:r>
      <w:r w:rsidR="00C95A02">
        <w:rPr>
          <w:rFonts w:cstheme="minorHAnsi"/>
          <w:color w:val="000000" w:themeColor="text1"/>
          <w:lang w:eastAsia="en-NZ"/>
        </w:rPr>
        <w:t>O</w:t>
      </w:r>
      <w:r w:rsidR="006D00B8" w:rsidRPr="00980F92">
        <w:rPr>
          <w:rFonts w:cstheme="minorHAnsi"/>
          <w:color w:val="000000" w:themeColor="text1"/>
          <w:lang w:eastAsia="en-NZ"/>
        </w:rPr>
        <w:t>ption for Domestic Consumers) Regulations 2004</w:t>
      </w:r>
      <w:r w:rsidR="006D00B8">
        <w:rPr>
          <w:rFonts w:cstheme="minorHAnsi"/>
          <w:color w:val="000000" w:themeColor="text1"/>
          <w:lang w:eastAsia="en-NZ"/>
        </w:rPr>
        <w:t xml:space="preserve"> should be revoked</w:t>
      </w:r>
      <w:r w:rsidR="00C95A02">
        <w:rPr>
          <w:rFonts w:cstheme="minorHAnsi"/>
          <w:color w:val="000000" w:themeColor="text1"/>
          <w:lang w:eastAsia="en-NZ"/>
        </w:rPr>
        <w:t xml:space="preserve">, </w:t>
      </w:r>
      <w:r w:rsidR="006D00B8">
        <w:rPr>
          <w:rFonts w:cstheme="minorHAnsi"/>
          <w:color w:val="000000" w:themeColor="text1"/>
          <w:lang w:eastAsia="en-NZ"/>
        </w:rPr>
        <w:t xml:space="preserve">but EDBs are willing to support </w:t>
      </w:r>
      <w:r w:rsidR="00113C1F">
        <w:rPr>
          <w:rFonts w:cstheme="minorHAnsi"/>
          <w:color w:val="000000" w:themeColor="text1"/>
          <w:lang w:eastAsia="en-NZ"/>
        </w:rPr>
        <w:t>a process whereby mechanisms are designed to mitigate the negati</w:t>
      </w:r>
      <w:r w:rsidR="007567C1">
        <w:rPr>
          <w:rFonts w:cstheme="minorHAnsi"/>
          <w:color w:val="000000" w:themeColor="text1"/>
          <w:lang w:eastAsia="en-NZ"/>
        </w:rPr>
        <w:t xml:space="preserve">ve effects </w:t>
      </w:r>
      <w:r w:rsidR="00B740D9">
        <w:rPr>
          <w:rFonts w:cstheme="minorHAnsi"/>
          <w:color w:val="000000" w:themeColor="text1"/>
          <w:lang w:eastAsia="en-NZ"/>
        </w:rPr>
        <w:t>of change</w:t>
      </w:r>
      <w:r w:rsidR="007567C1">
        <w:rPr>
          <w:rFonts w:cstheme="minorHAnsi"/>
          <w:color w:val="000000" w:themeColor="text1"/>
          <w:lang w:eastAsia="en-NZ"/>
        </w:rPr>
        <w:t xml:space="preserve"> on consumers.</w:t>
      </w:r>
    </w:p>
    <w:p w14:paraId="166E581E" w14:textId="110913CA" w:rsidR="006E7BA7" w:rsidRPr="007567C1" w:rsidRDefault="00855658" w:rsidP="00273087">
      <w:pPr>
        <w:pStyle w:val="ListParagraph"/>
        <w:numPr>
          <w:ilvl w:val="0"/>
          <w:numId w:val="59"/>
        </w:numPr>
        <w:ind w:left="851" w:hanging="425"/>
        <w:contextualSpacing w:val="0"/>
        <w:rPr>
          <w:rFonts w:cstheme="minorHAnsi"/>
        </w:rPr>
      </w:pPr>
      <w:r w:rsidRPr="00BC7B74">
        <w:rPr>
          <w:rFonts w:cstheme="minorHAnsi"/>
        </w:rPr>
        <w:t xml:space="preserve">The regulatory processes to update or amend legislation or technical codes </w:t>
      </w:r>
      <w:r w:rsidR="00B740D9">
        <w:rPr>
          <w:rFonts w:cstheme="minorHAnsi"/>
        </w:rPr>
        <w:t xml:space="preserve">are </w:t>
      </w:r>
      <w:r w:rsidRPr="00BC7B74">
        <w:rPr>
          <w:rFonts w:cstheme="minorHAnsi"/>
        </w:rPr>
        <w:t>too slow to match the expected pace of change</w:t>
      </w:r>
      <w:r w:rsidR="0025049F" w:rsidRPr="00BC7B74">
        <w:rPr>
          <w:rFonts w:cstheme="minorHAnsi"/>
        </w:rPr>
        <w:t xml:space="preserve"> brought by new technologies.</w:t>
      </w:r>
    </w:p>
    <w:p w14:paraId="3A539592" w14:textId="31C416D6" w:rsidR="000D74AE" w:rsidRPr="006E7BA7" w:rsidRDefault="0025049F" w:rsidP="00273087">
      <w:pPr>
        <w:pStyle w:val="ListParagraph"/>
        <w:numPr>
          <w:ilvl w:val="0"/>
          <w:numId w:val="59"/>
        </w:numPr>
        <w:spacing w:after="360"/>
        <w:ind w:left="851" w:hanging="425"/>
        <w:contextualSpacing w:val="0"/>
        <w:rPr>
          <w:rFonts w:cstheme="minorHAnsi"/>
        </w:rPr>
      </w:pPr>
      <w:r w:rsidRPr="006E7BA7">
        <w:rPr>
          <w:rFonts w:cstheme="minorHAnsi"/>
        </w:rPr>
        <w:t>The management of vegetation is a significant cost for many EDBs</w:t>
      </w:r>
      <w:r w:rsidR="005B54DE">
        <w:rPr>
          <w:rFonts w:cstheme="minorHAnsi"/>
        </w:rPr>
        <w:t>, a cost passed through to consumers</w:t>
      </w:r>
      <w:r w:rsidR="00C55CF6" w:rsidRPr="006E7BA7">
        <w:rPr>
          <w:rFonts w:cstheme="minorHAnsi"/>
        </w:rPr>
        <w:t xml:space="preserve">. Reform of the bureaucratic and outdated </w:t>
      </w:r>
      <w:r w:rsidR="00C55CF6" w:rsidRPr="006E7BA7">
        <w:rPr>
          <w:rFonts w:cstheme="minorHAnsi"/>
          <w:lang w:eastAsia="en-NZ"/>
        </w:rPr>
        <w:t xml:space="preserve">Electricity (Hazards from Trees) Regulations 2003 could </w:t>
      </w:r>
      <w:r w:rsidR="00BC7B74" w:rsidRPr="006E7BA7">
        <w:rPr>
          <w:rFonts w:cstheme="minorHAnsi"/>
          <w:lang w:eastAsia="en-NZ"/>
        </w:rPr>
        <w:t>vastly improve outcomes in this area – reducing costs and improving security of supply and public safety.</w:t>
      </w:r>
    </w:p>
    <w:p w14:paraId="6F456392" w14:textId="77777777" w:rsidR="001D06E3" w:rsidRPr="00F259E4" w:rsidRDefault="001D06E3" w:rsidP="00393E29">
      <w:pPr>
        <w:pStyle w:val="Heading2"/>
      </w:pPr>
      <w:r w:rsidRPr="00F259E4">
        <w:t>Solutions to issues and concerns raised in Part five</w:t>
      </w:r>
    </w:p>
    <w:p w14:paraId="5409C3C9" w14:textId="77777777" w:rsidR="001D06E3" w:rsidRPr="00F259E4" w:rsidRDefault="001D06E3" w:rsidP="00273087">
      <w:pPr>
        <w:pStyle w:val="ListParagraph"/>
        <w:numPr>
          <w:ilvl w:val="0"/>
          <w:numId w:val="55"/>
        </w:numPr>
        <w:ind w:left="426" w:hanging="426"/>
        <w:contextualSpacing w:val="0"/>
        <w:rPr>
          <w:rFonts w:cstheme="minorHAnsi"/>
          <w:b/>
        </w:rPr>
      </w:pPr>
      <w:r w:rsidRPr="00F259E4">
        <w:rPr>
          <w:rFonts w:cstheme="minorHAnsi"/>
          <w:b/>
        </w:rPr>
        <w:t>Please briefly describe any potential solutions to the issues and concerns raised in Part five</w:t>
      </w:r>
    </w:p>
    <w:p w14:paraId="28450E3B" w14:textId="42E06920" w:rsidR="0094094B" w:rsidRPr="007567C1" w:rsidRDefault="0094094B" w:rsidP="00273087">
      <w:pPr>
        <w:pStyle w:val="ListParagraph"/>
        <w:numPr>
          <w:ilvl w:val="0"/>
          <w:numId w:val="59"/>
        </w:numPr>
        <w:spacing w:line="240" w:lineRule="auto"/>
        <w:ind w:left="851" w:hanging="425"/>
        <w:contextualSpacing w:val="0"/>
        <w:rPr>
          <w:rFonts w:cstheme="minorHAnsi"/>
          <w:color w:val="000000" w:themeColor="text1"/>
        </w:rPr>
      </w:pPr>
      <w:r w:rsidRPr="0094094B">
        <w:rPr>
          <w:rFonts w:cstheme="minorHAnsi"/>
          <w:color w:val="000000" w:themeColor="text1"/>
          <w:lang w:eastAsia="en-NZ"/>
        </w:rPr>
        <w:t xml:space="preserve">That </w:t>
      </w:r>
      <w:r w:rsidR="00BD502D">
        <w:rPr>
          <w:rFonts w:cstheme="minorHAnsi"/>
          <w:color w:val="000000" w:themeColor="text1"/>
          <w:lang w:eastAsia="en-NZ"/>
        </w:rPr>
        <w:t xml:space="preserve">the Panel strongly encourages deployment of smart meters to as many New Zealand consumers as practicable. </w:t>
      </w:r>
    </w:p>
    <w:p w14:paraId="36938813" w14:textId="03D7EACE" w:rsidR="0094094B" w:rsidRPr="007567C1" w:rsidRDefault="00B75FEC"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B75FEC">
        <w:rPr>
          <w:rFonts w:cstheme="minorHAnsi"/>
          <w:color w:val="000000" w:themeColor="text1"/>
          <w:lang w:eastAsia="en-NZ"/>
        </w:rPr>
        <w:t xml:space="preserve">That the </w:t>
      </w:r>
      <w:r w:rsidR="00F66A2B">
        <w:rPr>
          <w:rFonts w:cstheme="minorHAnsi"/>
          <w:color w:val="000000" w:themeColor="text1"/>
          <w:lang w:eastAsia="en-NZ"/>
        </w:rPr>
        <w:t>Panel</w:t>
      </w:r>
      <w:r w:rsidRPr="00B75FEC">
        <w:rPr>
          <w:rFonts w:cstheme="minorHAnsi"/>
          <w:color w:val="000000" w:themeColor="text1"/>
          <w:lang w:eastAsia="en-NZ"/>
        </w:rPr>
        <w:t xml:space="preserve"> recommends the </w:t>
      </w:r>
      <w:r w:rsidR="0005344F">
        <w:rPr>
          <w:rFonts w:cstheme="minorHAnsi"/>
          <w:color w:val="000000" w:themeColor="text1"/>
          <w:lang w:eastAsia="en-NZ"/>
        </w:rPr>
        <w:t xml:space="preserve">New Zealand </w:t>
      </w:r>
      <w:r w:rsidRPr="00B75FEC">
        <w:rPr>
          <w:rFonts w:cstheme="minorHAnsi"/>
          <w:color w:val="000000" w:themeColor="text1"/>
          <w:lang w:eastAsia="en-NZ"/>
        </w:rPr>
        <w:t xml:space="preserve">Emissions Trading Scheme as the appropriate way for the </w:t>
      </w:r>
      <w:r w:rsidR="0005344F">
        <w:rPr>
          <w:rFonts w:cstheme="minorHAnsi"/>
          <w:color w:val="000000" w:themeColor="text1"/>
          <w:lang w:eastAsia="en-NZ"/>
        </w:rPr>
        <w:t>g</w:t>
      </w:r>
      <w:r w:rsidRPr="00B75FEC">
        <w:rPr>
          <w:rFonts w:cstheme="minorHAnsi"/>
          <w:color w:val="000000" w:themeColor="text1"/>
          <w:lang w:eastAsia="en-NZ"/>
        </w:rPr>
        <w:t>overnment to encourage economy-wide decarbonisation at the lowest possible costs.</w:t>
      </w:r>
    </w:p>
    <w:p w14:paraId="67AAC3E8" w14:textId="3EAAD1CA" w:rsidR="0094094B" w:rsidRPr="007567C1" w:rsidRDefault="00980F92"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980F92">
        <w:rPr>
          <w:rFonts w:cstheme="minorHAnsi"/>
          <w:color w:val="000000" w:themeColor="text1"/>
          <w:lang w:eastAsia="en-NZ"/>
        </w:rPr>
        <w:t>The ENA recommends that the Electricity (Low Fixed Charge Tariff option for Domestic Consumers) Regulations 2004 should be revoked as a matter of urgency. ENA and EDBs are willing to commit to lead a process, with government and other industry participants (e.g. retailers), to design mechanisms to mitigate negative impacts of this transition.</w:t>
      </w:r>
    </w:p>
    <w:p w14:paraId="51B32A67" w14:textId="77777777" w:rsidR="007212F0" w:rsidRDefault="00980F92" w:rsidP="009E312C">
      <w:pPr>
        <w:pStyle w:val="ListParagraph"/>
        <w:numPr>
          <w:ilvl w:val="0"/>
          <w:numId w:val="59"/>
        </w:numPr>
        <w:spacing w:line="240" w:lineRule="auto"/>
        <w:ind w:left="851" w:hanging="425"/>
        <w:contextualSpacing w:val="0"/>
        <w:rPr>
          <w:rFonts w:cstheme="minorHAnsi"/>
          <w:color w:val="000000" w:themeColor="text1"/>
          <w:lang w:eastAsia="en-NZ"/>
        </w:rPr>
      </w:pPr>
      <w:r w:rsidRPr="007212F0">
        <w:rPr>
          <w:rFonts w:cstheme="minorHAnsi"/>
          <w:color w:val="000000" w:themeColor="text1"/>
          <w:lang w:eastAsia="en-NZ"/>
        </w:rPr>
        <w:t xml:space="preserve">That </w:t>
      </w:r>
      <w:r w:rsidR="00B33420" w:rsidRPr="007212F0">
        <w:rPr>
          <w:rFonts w:cstheme="minorHAnsi"/>
          <w:color w:val="000000" w:themeColor="text1"/>
          <w:lang w:eastAsia="en-NZ"/>
        </w:rPr>
        <w:t xml:space="preserve">responsibility for the regulation of any matters related to electricity distribution should be </w:t>
      </w:r>
      <w:r w:rsidR="007212F0" w:rsidRPr="007212F0">
        <w:rPr>
          <w:rFonts w:cstheme="minorHAnsi"/>
          <w:color w:val="000000" w:themeColor="text1"/>
          <w:lang w:eastAsia="en-NZ"/>
        </w:rPr>
        <w:t xml:space="preserve">transferred from the Electricity Authority to the Commerce Commission. </w:t>
      </w:r>
    </w:p>
    <w:p w14:paraId="323B362B" w14:textId="366B694B" w:rsidR="00980F92" w:rsidRPr="007212F0" w:rsidRDefault="00980F92" w:rsidP="009E312C">
      <w:pPr>
        <w:pStyle w:val="ListParagraph"/>
        <w:numPr>
          <w:ilvl w:val="0"/>
          <w:numId w:val="59"/>
        </w:numPr>
        <w:spacing w:line="240" w:lineRule="auto"/>
        <w:ind w:left="851" w:hanging="425"/>
        <w:contextualSpacing w:val="0"/>
        <w:rPr>
          <w:rFonts w:cstheme="minorHAnsi"/>
          <w:color w:val="000000" w:themeColor="text1"/>
          <w:lang w:eastAsia="en-NZ"/>
        </w:rPr>
      </w:pPr>
      <w:r w:rsidRPr="007212F0">
        <w:rPr>
          <w:rFonts w:cstheme="minorHAnsi"/>
          <w:color w:val="000000" w:themeColor="text1"/>
          <w:lang w:eastAsia="en-NZ"/>
        </w:rPr>
        <w:lastRenderedPageBreak/>
        <w:t>That no regulatory intervention be made while markets enabled by new technologies (e.g. solar PV, electricity vehicles and charging infrastructure, domestic and grid-scale batteries, etc) are still emerging. If and when concrete, real-world evidence emerges of some negative effect on new markets due to EDB interaction, it would then be reasonable to reassess the regulations around ‘network access’.</w:t>
      </w:r>
    </w:p>
    <w:p w14:paraId="5EA4BA63" w14:textId="057487C8" w:rsidR="00A82190" w:rsidRPr="007567C1" w:rsidRDefault="00A82190"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A82190">
        <w:rPr>
          <w:rFonts w:cstheme="minorHAnsi"/>
          <w:color w:val="000000" w:themeColor="text1"/>
          <w:lang w:eastAsia="en-NZ"/>
        </w:rPr>
        <w:t>That the EPR recommends that the regulatory framework supports the ability to improve standards, codes and guidance in a timely way, to avoid barriers to technology uptake or business innovation.</w:t>
      </w:r>
    </w:p>
    <w:p w14:paraId="5815FD56" w14:textId="3A3F05EE" w:rsidR="00A82190" w:rsidRPr="00A82190" w:rsidRDefault="005D7B9D" w:rsidP="00273087">
      <w:pPr>
        <w:pStyle w:val="ListParagraph"/>
        <w:numPr>
          <w:ilvl w:val="0"/>
          <w:numId w:val="59"/>
        </w:numPr>
        <w:spacing w:line="240" w:lineRule="auto"/>
        <w:ind w:left="851" w:hanging="425"/>
        <w:contextualSpacing w:val="0"/>
        <w:rPr>
          <w:rFonts w:cstheme="minorHAnsi"/>
          <w:color w:val="000000" w:themeColor="text1"/>
          <w:lang w:eastAsia="en-NZ"/>
        </w:rPr>
      </w:pPr>
      <w:r w:rsidRPr="005D7B9D">
        <w:rPr>
          <w:rFonts w:cstheme="minorHAnsi"/>
          <w:color w:val="000000" w:themeColor="text1"/>
          <w:lang w:eastAsia="en-NZ"/>
        </w:rPr>
        <w:t>ENA recommends that the Panel support</w:t>
      </w:r>
      <w:r w:rsidR="0005344F">
        <w:rPr>
          <w:rFonts w:cstheme="minorHAnsi"/>
          <w:color w:val="000000" w:themeColor="text1"/>
          <w:lang w:eastAsia="en-NZ"/>
        </w:rPr>
        <w:t>s</w:t>
      </w:r>
      <w:r w:rsidRPr="005D7B9D">
        <w:rPr>
          <w:rFonts w:cstheme="minorHAnsi"/>
          <w:color w:val="000000" w:themeColor="text1"/>
          <w:lang w:eastAsia="en-NZ"/>
        </w:rPr>
        <w:t xml:space="preserve"> a review of the Electricity (Hazards from Trees) Regulations 2003 which results in more effective methods of managing vegetation at risk of disrupting electricity supply, and reduces network operating costs (and therefore consumer bills).</w:t>
      </w:r>
    </w:p>
    <w:p w14:paraId="6808F53E" w14:textId="77777777" w:rsidR="00980F92" w:rsidRPr="0094094B" w:rsidRDefault="00980F92" w:rsidP="0094094B">
      <w:pPr>
        <w:spacing w:after="0" w:line="240" w:lineRule="auto"/>
        <w:jc w:val="both"/>
        <w:rPr>
          <w:rFonts w:cstheme="minorHAnsi"/>
          <w:color w:val="000000" w:themeColor="text1"/>
        </w:rPr>
      </w:pPr>
    </w:p>
    <w:p w14:paraId="0965EF26" w14:textId="77777777" w:rsidR="001D06E3" w:rsidRPr="00F259E4" w:rsidRDefault="001D06E3" w:rsidP="00680BAB">
      <w:pPr>
        <w:pStyle w:val="Heading2"/>
      </w:pPr>
      <w:r w:rsidRPr="00F259E4">
        <w:t>Additional information</w:t>
      </w:r>
    </w:p>
    <w:p w14:paraId="2694313D" w14:textId="77777777" w:rsidR="001D06E3" w:rsidRPr="00F259E4" w:rsidRDefault="001D06E3" w:rsidP="00273087">
      <w:pPr>
        <w:pStyle w:val="ListParagraph"/>
        <w:numPr>
          <w:ilvl w:val="0"/>
          <w:numId w:val="55"/>
        </w:numPr>
        <w:spacing w:after="60"/>
        <w:ind w:left="426" w:hanging="426"/>
        <w:rPr>
          <w:rFonts w:cstheme="minorHAnsi"/>
          <w:b/>
        </w:rPr>
      </w:pPr>
      <w:r w:rsidRPr="00F259E4">
        <w:rPr>
          <w:rFonts w:cstheme="minorHAnsi"/>
          <w:b/>
        </w:rPr>
        <w:t>Please briefly provide any additional information or comment you would like to include in your submission.</w:t>
      </w:r>
    </w:p>
    <w:p w14:paraId="04A3E324" w14:textId="3E3CBAA1" w:rsidR="003B3007" w:rsidRPr="00273087" w:rsidRDefault="00273087" w:rsidP="00B75FEC">
      <w:pPr>
        <w:spacing w:after="60"/>
        <w:jc w:val="both"/>
        <w:rPr>
          <w:rFonts w:cstheme="minorHAnsi"/>
        </w:rPr>
      </w:pPr>
      <w:r w:rsidRPr="00273087">
        <w:rPr>
          <w:rFonts w:cstheme="minorHAnsi"/>
        </w:rPr>
        <w:t>No</w:t>
      </w:r>
      <w:r>
        <w:rPr>
          <w:rFonts w:cstheme="minorHAnsi"/>
        </w:rPr>
        <w:t xml:space="preserve"> further comments.</w:t>
      </w:r>
    </w:p>
    <w:sectPr w:rsidR="003B3007" w:rsidRPr="00273087" w:rsidSect="001468A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C93AD" w14:textId="77777777" w:rsidR="009E312C" w:rsidRDefault="009E312C" w:rsidP="00742906">
      <w:pPr>
        <w:spacing w:after="0" w:line="240" w:lineRule="auto"/>
      </w:pPr>
      <w:r>
        <w:separator/>
      </w:r>
    </w:p>
  </w:endnote>
  <w:endnote w:type="continuationSeparator" w:id="0">
    <w:p w14:paraId="2070517B" w14:textId="77777777" w:rsidR="009E312C" w:rsidRDefault="009E312C" w:rsidP="00742906">
      <w:pPr>
        <w:spacing w:after="0" w:line="240" w:lineRule="auto"/>
      </w:pPr>
      <w:r>
        <w:continuationSeparator/>
      </w:r>
    </w:p>
  </w:endnote>
  <w:endnote w:type="continuationNotice" w:id="1">
    <w:p w14:paraId="6C55F0EB" w14:textId="77777777" w:rsidR="009E312C" w:rsidRDefault="009E31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13D2C" w14:textId="0CCD0D6B" w:rsidR="009E312C" w:rsidRPr="00454A41" w:rsidRDefault="009E312C" w:rsidP="00572854">
    <w:pPr>
      <w:pStyle w:val="Footer"/>
      <w:ind w:left="-284"/>
      <w:jc w:val="center"/>
      <w:rPr>
        <w:sz w:val="18"/>
        <w:szCs w:val="18"/>
      </w:rPr>
    </w:pPr>
    <w:r w:rsidRPr="00454A41">
      <w:rPr>
        <w:sz w:val="18"/>
        <w:szCs w:val="18"/>
      </w:rPr>
      <w:t>ENA Submission to Electricity Price Review</w:t>
    </w:r>
    <w:r>
      <w:rPr>
        <w:sz w:val="18"/>
        <w:szCs w:val="18"/>
      </w:rPr>
      <w:t>, October 2018</w:t>
    </w:r>
    <w:r w:rsidRPr="00454A41">
      <w:rPr>
        <w:sz w:val="18"/>
        <w:szCs w:val="18"/>
      </w:rPr>
      <w:t xml:space="preserve">   </w:t>
    </w:r>
    <w:r>
      <w:rPr>
        <w:sz w:val="18"/>
        <w:szCs w:val="18"/>
      </w:rPr>
      <w:t xml:space="preserve">                                </w:t>
    </w:r>
    <w:r w:rsidRPr="00454A41">
      <w:rPr>
        <w:sz w:val="18"/>
        <w:szCs w:val="18"/>
      </w:rPr>
      <w:t xml:space="preserve">                                                                 Page </w:t>
    </w:r>
    <w:r w:rsidRPr="00454A41">
      <w:rPr>
        <w:b/>
        <w:bCs/>
        <w:sz w:val="18"/>
        <w:szCs w:val="18"/>
      </w:rPr>
      <w:fldChar w:fldCharType="begin"/>
    </w:r>
    <w:r w:rsidRPr="00454A41">
      <w:rPr>
        <w:b/>
        <w:bCs/>
        <w:sz w:val="18"/>
        <w:szCs w:val="18"/>
      </w:rPr>
      <w:instrText xml:space="preserve"> PAGE  \* Arabic  \* MERGEFORMAT </w:instrText>
    </w:r>
    <w:r w:rsidRPr="00454A41">
      <w:rPr>
        <w:b/>
        <w:bCs/>
        <w:sz w:val="18"/>
        <w:szCs w:val="18"/>
      </w:rPr>
      <w:fldChar w:fldCharType="separate"/>
    </w:r>
    <w:r w:rsidRPr="00454A41">
      <w:rPr>
        <w:b/>
        <w:bCs/>
        <w:noProof/>
        <w:sz w:val="18"/>
        <w:szCs w:val="18"/>
      </w:rPr>
      <w:t>49</w:t>
    </w:r>
    <w:r w:rsidRPr="00454A41">
      <w:rPr>
        <w:b/>
        <w:bCs/>
        <w:sz w:val="18"/>
        <w:szCs w:val="18"/>
      </w:rPr>
      <w:fldChar w:fldCharType="end"/>
    </w:r>
    <w:r w:rsidRPr="00454A41">
      <w:rPr>
        <w:sz w:val="18"/>
        <w:szCs w:val="18"/>
      </w:rPr>
      <w:t xml:space="preserve"> of </w:t>
    </w:r>
    <w:r w:rsidRPr="00454A41">
      <w:rPr>
        <w:b/>
        <w:bCs/>
        <w:sz w:val="18"/>
        <w:szCs w:val="18"/>
      </w:rPr>
      <w:fldChar w:fldCharType="begin"/>
    </w:r>
    <w:r w:rsidRPr="00454A41">
      <w:rPr>
        <w:b/>
        <w:bCs/>
        <w:sz w:val="18"/>
        <w:szCs w:val="18"/>
      </w:rPr>
      <w:instrText xml:space="preserve"> NUMPAGES  \* Arabic  \* MERGEFORMAT </w:instrText>
    </w:r>
    <w:r w:rsidRPr="00454A41">
      <w:rPr>
        <w:b/>
        <w:bCs/>
        <w:sz w:val="18"/>
        <w:szCs w:val="18"/>
      </w:rPr>
      <w:fldChar w:fldCharType="separate"/>
    </w:r>
    <w:r w:rsidRPr="00454A41">
      <w:rPr>
        <w:b/>
        <w:bCs/>
        <w:noProof/>
        <w:sz w:val="18"/>
        <w:szCs w:val="18"/>
      </w:rPr>
      <w:t>49</w:t>
    </w:r>
    <w:r w:rsidRPr="00454A41">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5DD71" w14:textId="77777777" w:rsidR="009E312C" w:rsidRDefault="009E312C" w:rsidP="00742906">
      <w:pPr>
        <w:spacing w:after="0" w:line="240" w:lineRule="auto"/>
      </w:pPr>
      <w:r>
        <w:separator/>
      </w:r>
    </w:p>
  </w:footnote>
  <w:footnote w:type="continuationSeparator" w:id="0">
    <w:p w14:paraId="427AE653" w14:textId="77777777" w:rsidR="009E312C" w:rsidRDefault="009E312C" w:rsidP="00742906">
      <w:pPr>
        <w:spacing w:after="0" w:line="240" w:lineRule="auto"/>
      </w:pPr>
      <w:r>
        <w:continuationSeparator/>
      </w:r>
    </w:p>
  </w:footnote>
  <w:footnote w:type="continuationNotice" w:id="1">
    <w:p w14:paraId="3E4E0862" w14:textId="77777777" w:rsidR="009E312C" w:rsidRDefault="009E312C">
      <w:pPr>
        <w:spacing w:after="0" w:line="240" w:lineRule="auto"/>
      </w:pPr>
    </w:p>
  </w:footnote>
  <w:footnote w:id="2">
    <w:p w14:paraId="769596BC" w14:textId="4CE0FAF1" w:rsidR="009E312C" w:rsidRDefault="009E312C">
      <w:pPr>
        <w:pStyle w:val="FootnoteText"/>
      </w:pPr>
      <w:r>
        <w:rPr>
          <w:rStyle w:val="FootnoteReference"/>
        </w:rPr>
        <w:footnoteRef/>
      </w:r>
      <w:r>
        <w:t xml:space="preserve"> ENA Consumer Reference Panel report, Aug 2018</w:t>
      </w:r>
    </w:p>
  </w:footnote>
  <w:footnote w:id="3">
    <w:p w14:paraId="75BED2CD" w14:textId="716FBFC2" w:rsidR="009E312C" w:rsidRDefault="009E312C">
      <w:pPr>
        <w:pStyle w:val="FootnoteText"/>
      </w:pPr>
      <w:r>
        <w:rPr>
          <w:rStyle w:val="FootnoteReference"/>
        </w:rPr>
        <w:footnoteRef/>
      </w:r>
      <w:r>
        <w:t xml:space="preserve"> ENA consumer focus group report, Oct 2017</w:t>
      </w:r>
    </w:p>
  </w:footnote>
  <w:footnote w:id="4">
    <w:p w14:paraId="49AA883B" w14:textId="6282067D" w:rsidR="009E312C" w:rsidRDefault="009E312C">
      <w:pPr>
        <w:pStyle w:val="FootnoteText"/>
      </w:pPr>
      <w:r>
        <w:rPr>
          <w:rStyle w:val="FootnoteReference"/>
        </w:rPr>
        <w:footnoteRef/>
      </w:r>
      <w:r>
        <w:t xml:space="preserve"> ‘Australian Consumers’ Likely Response to Cost-Reflective Electricity Pricing’, K. Stenner, E. Frederiks et al, CSIRO, June 2015</w:t>
      </w:r>
    </w:p>
  </w:footnote>
  <w:footnote w:id="5">
    <w:p w14:paraId="35B7BE6A" w14:textId="032E715B" w:rsidR="009E312C" w:rsidRDefault="009E312C">
      <w:pPr>
        <w:pStyle w:val="FootnoteText"/>
      </w:pPr>
      <w:r>
        <w:rPr>
          <w:rStyle w:val="FootnoteReference"/>
        </w:rPr>
        <w:footnoteRef/>
      </w:r>
      <w:r>
        <w:t xml:space="preserve"> ‘Domestic electricity price components’, PwC report to ENA, July 2017, updated 2018</w:t>
      </w:r>
    </w:p>
  </w:footnote>
  <w:footnote w:id="6">
    <w:p w14:paraId="713E8703" w14:textId="311ED437" w:rsidR="009E312C" w:rsidRPr="00625402" w:rsidRDefault="009E312C">
      <w:pPr>
        <w:pStyle w:val="FootnoteText"/>
        <w:rPr>
          <w:lang w:val="en-US"/>
        </w:rPr>
      </w:pPr>
      <w:r>
        <w:rPr>
          <w:rStyle w:val="FootnoteReference"/>
        </w:rPr>
        <w:footnoteRef/>
      </w:r>
      <w:r>
        <w:t xml:space="preserve"> </w:t>
      </w:r>
      <w:r>
        <w:rPr>
          <w:lang w:val="en-US"/>
        </w:rPr>
        <w:t>Electricity Price Review Issues Paper, MBIE, September 2018, p23</w:t>
      </w:r>
    </w:p>
  </w:footnote>
  <w:footnote w:id="7">
    <w:p w14:paraId="69982A63" w14:textId="783F1A7E" w:rsidR="009E312C" w:rsidRDefault="009E312C" w:rsidP="00133F02">
      <w:r>
        <w:rPr>
          <w:rStyle w:val="FootnoteReference"/>
        </w:rPr>
        <w:footnoteRef/>
      </w:r>
      <w:r>
        <w:t xml:space="preserve"> NZIER (2015) </w:t>
      </w:r>
      <w:r>
        <w:rPr>
          <w:i/>
          <w:iCs/>
        </w:rPr>
        <w:t>Effects of distribution charges on household investment in solar.</w:t>
      </w:r>
      <w:r>
        <w:t xml:space="preserve"> Report to the Electricity Authority  (</w:t>
      </w:r>
      <w:hyperlink r:id="rId1" w:history="1">
        <w:r>
          <w:rPr>
            <w:rStyle w:val="Hyperlink"/>
          </w:rPr>
          <w:t>https://www.ea.govt.nz/dmsdocument/20059-nzier-effects-of-distribution-charges-on-household-investment-in-solar</w:t>
        </w:r>
      </w:hyperlink>
      <w:r>
        <w:t xml:space="preserve">), key points, page i. </w:t>
      </w:r>
    </w:p>
    <w:p w14:paraId="42DEBD22" w14:textId="11F5E132" w:rsidR="009E312C" w:rsidRPr="00133F02" w:rsidRDefault="009E312C">
      <w:pPr>
        <w:pStyle w:val="FootnoteText"/>
        <w:rPr>
          <w:lang w:val="en-US"/>
        </w:rPr>
      </w:pPr>
    </w:p>
  </w:footnote>
  <w:footnote w:id="8">
    <w:p w14:paraId="377644D6" w14:textId="549B8E2F" w:rsidR="009E312C" w:rsidRDefault="009E312C" w:rsidP="00742906">
      <w:pPr>
        <w:pStyle w:val="FootnoteText"/>
      </w:pPr>
      <w:r>
        <w:rPr>
          <w:rStyle w:val="FootnoteReference"/>
        </w:rPr>
        <w:footnoteRef/>
      </w:r>
      <w:r>
        <w:t xml:space="preserve"> Electricity Price Review Issues Paper, MBIE, September 2018, </w:t>
      </w:r>
      <w:hyperlink r:id="rId2" w:history="1">
        <w:r w:rsidRPr="000F55CE">
          <w:rPr>
            <w:rStyle w:val="Hyperlink"/>
          </w:rPr>
          <w:t>https://www.mbie.govt.nz/info-services/sectors-industries/energy/electricity-price-review/consultation/first-report.pdf</w:t>
        </w:r>
      </w:hyperlink>
      <w:r>
        <w:t xml:space="preserve"> Page 35</w:t>
      </w:r>
    </w:p>
  </w:footnote>
  <w:footnote w:id="9">
    <w:p w14:paraId="4F3B87FA" w14:textId="77777777" w:rsidR="009E312C" w:rsidRDefault="009E312C" w:rsidP="00742906">
      <w:pPr>
        <w:pStyle w:val="FootnoteText"/>
      </w:pPr>
      <w:r>
        <w:rPr>
          <w:rStyle w:val="FootnoteReference"/>
        </w:rPr>
        <w:footnoteRef/>
      </w:r>
      <w:r>
        <w:t xml:space="preserve"> International Energy Agency ‘Energy Policies of IEA Countries – New Zealand 2017 Review’, page 102</w:t>
      </w:r>
    </w:p>
  </w:footnote>
  <w:footnote w:id="10">
    <w:p w14:paraId="39DC718A" w14:textId="77777777" w:rsidR="009E312C" w:rsidRDefault="009E312C" w:rsidP="00742906">
      <w:pPr>
        <w:pStyle w:val="FootnoteText"/>
      </w:pPr>
      <w:r>
        <w:rPr>
          <w:rStyle w:val="FootnoteReference"/>
        </w:rPr>
        <w:footnoteRef/>
      </w:r>
      <w:r>
        <w:t xml:space="preserve"> Ibid, page 67</w:t>
      </w:r>
    </w:p>
  </w:footnote>
  <w:footnote w:id="11">
    <w:p w14:paraId="58FC8E4D" w14:textId="77777777" w:rsidR="009E312C" w:rsidRDefault="009E312C" w:rsidP="00742906">
      <w:pPr>
        <w:pStyle w:val="FootnoteText"/>
      </w:pPr>
      <w:r>
        <w:rPr>
          <w:rStyle w:val="FootnoteReference"/>
        </w:rPr>
        <w:footnoteRef/>
      </w:r>
      <w:r>
        <w:t xml:space="preserve"> ibid, page 102</w:t>
      </w:r>
    </w:p>
  </w:footnote>
  <w:footnote w:id="12">
    <w:p w14:paraId="6BEC11A3" w14:textId="77777777" w:rsidR="009E312C" w:rsidRDefault="009E312C" w:rsidP="00742906">
      <w:pPr>
        <w:pStyle w:val="FootnoteText"/>
      </w:pPr>
      <w:r>
        <w:rPr>
          <w:rStyle w:val="FootnoteReference"/>
        </w:rPr>
        <w:footnoteRef/>
      </w:r>
      <w:r>
        <w:t xml:space="preserve"> Ibid, pages 64 and 65</w:t>
      </w:r>
    </w:p>
  </w:footnote>
  <w:footnote w:id="13">
    <w:p w14:paraId="5A6D891C" w14:textId="77777777" w:rsidR="009E312C" w:rsidRDefault="009E312C" w:rsidP="00742906">
      <w:pPr>
        <w:pStyle w:val="FootnoteText"/>
      </w:pPr>
      <w:r>
        <w:rPr>
          <w:rStyle w:val="FootnoteReference"/>
        </w:rPr>
        <w:footnoteRef/>
      </w:r>
      <w:r>
        <w:t xml:space="preserve"> This includes the share of subsidiary or ‘challenger brands’ owned by the five incumbent gentailers as all the brands owned by the gentailer benefit from being part of the group</w:t>
      </w:r>
    </w:p>
  </w:footnote>
  <w:footnote w:id="14">
    <w:p w14:paraId="3731CA6B" w14:textId="77777777" w:rsidR="009E312C" w:rsidRDefault="009E312C" w:rsidP="00742906">
      <w:pPr>
        <w:pStyle w:val="FootnoteText"/>
      </w:pPr>
      <w:r>
        <w:rPr>
          <w:rStyle w:val="FootnoteReference"/>
        </w:rPr>
        <w:footnoteRef/>
      </w:r>
      <w:r>
        <w:t xml:space="preserve"> Source: </w:t>
      </w:r>
      <w:hyperlink r:id="rId3" w:history="1">
        <w:r w:rsidRPr="00D21ECD">
          <w:rPr>
            <w:rStyle w:val="Hyperlink"/>
          </w:rPr>
          <w:t>https://www.emi.ea.govt.nz/Retail/Reports/R_MST_C?ParentCompany=N&amp;seriesFilter=&amp;_si=_dr_ParentCompany|Y,v|4</w:t>
        </w:r>
      </w:hyperlink>
    </w:p>
  </w:footnote>
  <w:footnote w:id="15">
    <w:p w14:paraId="0C2F3D25" w14:textId="77777777" w:rsidR="009E312C" w:rsidRDefault="009E312C" w:rsidP="00742906">
      <w:pPr>
        <w:pStyle w:val="FootnoteText"/>
      </w:pPr>
      <w:r>
        <w:rPr>
          <w:rStyle w:val="FootnoteReference"/>
        </w:rPr>
        <w:footnoteRef/>
      </w:r>
      <w:r>
        <w:t xml:space="preserve"> </w:t>
      </w:r>
      <w:hyperlink r:id="rId4" w:history="1">
        <w:r w:rsidRPr="001F4486">
          <w:rPr>
            <w:rStyle w:val="Hyperlink"/>
          </w:rPr>
          <w:t>https://www.ea.govt.nz/dmsdocument/23817-ecotricity</w:t>
        </w:r>
      </w:hyperlink>
      <w:r>
        <w:t xml:space="preserve"> page 3</w:t>
      </w:r>
    </w:p>
  </w:footnote>
  <w:footnote w:id="16">
    <w:p w14:paraId="0B4978DB" w14:textId="77777777" w:rsidR="009E312C" w:rsidRDefault="009E312C" w:rsidP="00742906">
      <w:pPr>
        <w:pStyle w:val="FootnoteText"/>
      </w:pPr>
      <w:r>
        <w:rPr>
          <w:rStyle w:val="FootnoteReference"/>
        </w:rPr>
        <w:footnoteRef/>
      </w:r>
      <w:r>
        <w:t xml:space="preserve"> Source:</w:t>
      </w:r>
    </w:p>
    <w:p w14:paraId="1CAE16D1" w14:textId="77777777" w:rsidR="009E312C" w:rsidRDefault="009E312C" w:rsidP="00742906">
      <w:pPr>
        <w:pStyle w:val="FootnoteText"/>
      </w:pPr>
      <w:hyperlink r:id="rId5" w:history="1">
        <w:r w:rsidRPr="00D21ECD">
          <w:rPr>
            <w:rStyle w:val="Hyperlink"/>
          </w:rPr>
          <w:t>https://www.emi.ea.govt.nz/Retail/Reports/IR0U5M?DateTo=20171231&amp;RegionType=ISLAND_1&amp;_si=tg|residential-savings,_dr_DateTo|20171231,_dr_RegionType|ISLAND_1,v|4</w:t>
        </w:r>
      </w:hyperlink>
    </w:p>
  </w:footnote>
  <w:footnote w:id="17">
    <w:p w14:paraId="5DAE1EAD" w14:textId="77777777" w:rsidR="009E312C" w:rsidRDefault="009E312C" w:rsidP="00742906">
      <w:pPr>
        <w:pStyle w:val="FootnoteText"/>
      </w:pPr>
      <w:r>
        <w:rPr>
          <w:rStyle w:val="FootnoteReference"/>
        </w:rPr>
        <w:footnoteRef/>
      </w:r>
      <w:r>
        <w:t xml:space="preserve"> The EPR Report refers to an average saving of around $200 a year (3</w:t>
      </w:r>
      <w:r w:rsidRPr="009F43CD">
        <w:rPr>
          <w:vertAlign w:val="superscript"/>
        </w:rPr>
        <w:t>rd</w:t>
      </w:r>
      <w:r>
        <w:t xml:space="preserve"> paragraph page 36)</w:t>
      </w:r>
    </w:p>
  </w:footnote>
  <w:footnote w:id="18">
    <w:p w14:paraId="7BDBA903" w14:textId="77777777" w:rsidR="009E312C" w:rsidRDefault="009E312C" w:rsidP="00742906">
      <w:pPr>
        <w:pStyle w:val="FootnoteText"/>
      </w:pPr>
      <w:r>
        <w:rPr>
          <w:rStyle w:val="FootnoteReference"/>
        </w:rPr>
        <w:footnoteRef/>
      </w:r>
      <w:r>
        <w:t xml:space="preserve"> Energyclub (owned by Future Energy) submission to MDAG on saves and win backs 24 July 2018 </w:t>
      </w:r>
      <w:hyperlink r:id="rId6" w:history="1">
        <w:r w:rsidRPr="00D25D92">
          <w:rPr>
            <w:rStyle w:val="Hyperlink"/>
          </w:rPr>
          <w:t>https://www.ea.govt.nz/dmsdocument/23818</w:t>
        </w:r>
      </w:hyperlink>
    </w:p>
  </w:footnote>
  <w:footnote w:id="19">
    <w:p w14:paraId="34EFD3F3" w14:textId="77777777" w:rsidR="009E312C" w:rsidRDefault="009E312C" w:rsidP="00742906">
      <w:r>
        <w:rPr>
          <w:rStyle w:val="FootnoteReference"/>
        </w:rPr>
        <w:footnoteRef/>
      </w:r>
      <w:hyperlink r:id="rId7" w:history="1">
        <w:r w:rsidRPr="00F1479F">
          <w:rPr>
            <w:rStyle w:val="Hyperlink"/>
          </w:rPr>
          <w:t>https://www.emi.ea.govt.nz/Retail/Reports/W4TZQL?RegionType=NWK_REPORTING_REGION&amp;_si=tg|residential-savings,v|3</w:t>
        </w:r>
      </w:hyperlink>
    </w:p>
  </w:footnote>
  <w:footnote w:id="20">
    <w:p w14:paraId="6FA2CE7E" w14:textId="77777777" w:rsidR="009E312C" w:rsidRDefault="009E312C" w:rsidP="00742906">
      <w:pPr>
        <w:pStyle w:val="FootnoteText"/>
      </w:pPr>
      <w:r>
        <w:rPr>
          <w:rStyle w:val="FootnoteReference"/>
        </w:rPr>
        <w:footnoteRef/>
      </w:r>
      <w:r>
        <w:t xml:space="preserve"> </w:t>
      </w:r>
      <w:hyperlink r:id="rId8" w:history="1">
        <w:r w:rsidRPr="00F42EE0">
          <w:rPr>
            <w:rStyle w:val="Hyperlink"/>
          </w:rPr>
          <w:t>http://www.mbie.govt.nz/info-services/sectors-industries/energy/energy-data-modelling/statistics/prices/electricity-prices/documentlibrary/Quarterly%20Survey%20of%20Domestic%20Electricity%20Prices%20as%20at%2015%20November%202013.xlsx</w:t>
        </w:r>
      </w:hyperlink>
    </w:p>
  </w:footnote>
  <w:footnote w:id="21">
    <w:p w14:paraId="53D8A0F9" w14:textId="77777777" w:rsidR="009E312C" w:rsidRDefault="009E312C" w:rsidP="00742906">
      <w:pPr>
        <w:pStyle w:val="FootnoteText"/>
      </w:pPr>
      <w:r>
        <w:rPr>
          <w:rStyle w:val="FootnoteReference"/>
        </w:rPr>
        <w:footnoteRef/>
      </w:r>
      <w:r>
        <w:t xml:space="preserve"> This tariff reflects contracts that are based on evergreen principles, with no end date (and no exit fee), the tariff for which the retailer can change over time. </w:t>
      </w:r>
    </w:p>
  </w:footnote>
  <w:footnote w:id="22">
    <w:p w14:paraId="38A44B32" w14:textId="77777777" w:rsidR="009E312C" w:rsidRDefault="009E312C" w:rsidP="00742906">
      <w:pPr>
        <w:pStyle w:val="FootnoteText"/>
      </w:pPr>
      <w:r>
        <w:rPr>
          <w:rStyle w:val="FootnoteReference"/>
        </w:rPr>
        <w:footnoteRef/>
      </w:r>
      <w:r>
        <w:t xml:space="preserve"> “Retail Lessons for New Zealand from the UK Energy Market Investigation”, Martin Cave, May 2018, Page 6 </w:t>
      </w:r>
    </w:p>
  </w:footnote>
  <w:footnote w:id="23">
    <w:p w14:paraId="11E595BC" w14:textId="77777777" w:rsidR="009E312C" w:rsidRDefault="009E312C" w:rsidP="00742906">
      <w:pPr>
        <w:pStyle w:val="FootnoteText"/>
      </w:pPr>
      <w:r>
        <w:rPr>
          <w:rStyle w:val="FootnoteReference"/>
        </w:rPr>
        <w:footnoteRef/>
      </w:r>
      <w:r>
        <w:t xml:space="preserve"> Thwaites, Faulkner &amp; Mulder, “Independent review into the electricity and gas retail markets in Victoria”, August 2017 </w:t>
      </w:r>
      <w:hyperlink r:id="rId9" w:history="1">
        <w:r w:rsidRPr="00A74C42">
          <w:rPr>
            <w:rStyle w:val="Hyperlink"/>
          </w:rPr>
          <w:t>https://engage.vic.gov.au/application/files/7415/0267/4425/Retail_Energy_Review_-_Final_Report.pdf</w:t>
        </w:r>
      </w:hyperlink>
    </w:p>
  </w:footnote>
  <w:footnote w:id="24">
    <w:p w14:paraId="2FADF53C" w14:textId="1AABB05E" w:rsidR="009E312C" w:rsidRDefault="009E312C" w:rsidP="00742906">
      <w:pPr>
        <w:pStyle w:val="FootnoteText"/>
      </w:pPr>
      <w:r>
        <w:rPr>
          <w:rStyle w:val="FootnoteReference"/>
        </w:rPr>
        <w:footnoteRef/>
      </w:r>
      <w:r>
        <w:t xml:space="preserve"> Source: Electricity Price Review Issue Paper, page 39 available at </w:t>
      </w:r>
      <w:hyperlink r:id="rId10" w:history="1">
        <w:r w:rsidRPr="00717178">
          <w:rPr>
            <w:rStyle w:val="Hyperlink"/>
          </w:rPr>
          <w:t>https://www.mbie.govt.nz/info-services/sectors-industries/energy/electricity-price-review/consultation/first-report.pdf</w:t>
        </w:r>
      </w:hyperlink>
    </w:p>
  </w:footnote>
  <w:footnote w:id="25">
    <w:p w14:paraId="3FA5D185" w14:textId="77777777" w:rsidR="009E312C" w:rsidRDefault="009E312C" w:rsidP="00742906">
      <w:pPr>
        <w:pStyle w:val="FootnoteText"/>
      </w:pPr>
      <w:r>
        <w:rPr>
          <w:rStyle w:val="FootnoteReference"/>
        </w:rPr>
        <w:footnoteRef/>
      </w:r>
      <w:r>
        <w:t xml:space="preserve"> See </w:t>
      </w:r>
      <w:hyperlink r:id="rId11" w:history="1">
        <w:r w:rsidRPr="00BC75B5">
          <w:rPr>
            <w:rStyle w:val="Hyperlink"/>
          </w:rPr>
          <w:t>https://www.ofgem.gov.uk/publications-and-updates/ofgem-proposes-price-cap-give-11-million-customers-fairer-deal-their-energy</w:t>
        </w:r>
      </w:hyperlink>
    </w:p>
  </w:footnote>
  <w:footnote w:id="26">
    <w:p w14:paraId="5763A32C" w14:textId="77777777" w:rsidR="009E312C" w:rsidRDefault="009E312C" w:rsidP="00742906">
      <w:pPr>
        <w:pStyle w:val="FootnoteText"/>
      </w:pPr>
      <w:r>
        <w:rPr>
          <w:rStyle w:val="FootnoteReference"/>
        </w:rPr>
        <w:footnoteRef/>
      </w:r>
      <w:r>
        <w:t xml:space="preserve"> Ibid page 14</w:t>
      </w:r>
    </w:p>
  </w:footnote>
  <w:footnote w:id="27">
    <w:p w14:paraId="2477B03E" w14:textId="77777777" w:rsidR="009E312C" w:rsidRDefault="009E312C" w:rsidP="00742906">
      <w:pPr>
        <w:pStyle w:val="FootnoteText"/>
      </w:pPr>
      <w:r>
        <w:rPr>
          <w:rStyle w:val="FootnoteReference"/>
        </w:rPr>
        <w:footnoteRef/>
      </w:r>
      <w:r>
        <w:t xml:space="preserve"> </w:t>
      </w:r>
      <w:hyperlink r:id="rId12" w:history="1">
        <w:r w:rsidRPr="00BC75B5">
          <w:rPr>
            <w:rStyle w:val="Hyperlink"/>
          </w:rPr>
          <w:t>https://www.ofgem.gov.uk/publications-and-updates/eight-times-many-people-get-better-deal-ofgem-s-collective-switch-trial</w:t>
        </w:r>
      </w:hyperlink>
    </w:p>
  </w:footnote>
  <w:footnote w:id="28">
    <w:p w14:paraId="1EB10B86" w14:textId="77777777" w:rsidR="009E312C" w:rsidRDefault="009E312C" w:rsidP="00742906">
      <w:pPr>
        <w:pStyle w:val="FootnoteText"/>
      </w:pPr>
      <w:r>
        <w:rPr>
          <w:rStyle w:val="FootnoteReference"/>
        </w:rPr>
        <w:footnoteRef/>
      </w:r>
      <w:r>
        <w:t xml:space="preserve"> Thwaites report </w:t>
      </w:r>
      <w:hyperlink r:id="rId13" w:history="1">
        <w:r w:rsidRPr="00BC75B5">
          <w:rPr>
            <w:rStyle w:val="Hyperlink"/>
          </w:rPr>
          <w:t>https://s3.ap-southeast-2.amazonaws.com/hdp.au.prod.app.vic-engage.files/7415/0267/4425/Retail_Energy_Review_-_Final_Report.pdf</w:t>
        </w:r>
      </w:hyperlink>
    </w:p>
    <w:p w14:paraId="0913D4B9" w14:textId="77777777" w:rsidR="009E312C" w:rsidRDefault="009E312C" w:rsidP="00742906">
      <w:pPr>
        <w:pStyle w:val="FootnoteText"/>
      </w:pPr>
    </w:p>
  </w:footnote>
  <w:footnote w:id="29">
    <w:p w14:paraId="6705517D" w14:textId="69CB7D6B" w:rsidR="009E312C" w:rsidRDefault="009E312C" w:rsidP="00742906">
      <w:pPr>
        <w:pStyle w:val="FootnoteText"/>
      </w:pPr>
      <w:r>
        <w:rPr>
          <w:rStyle w:val="FootnoteReference"/>
        </w:rPr>
        <w:footnoteRef/>
      </w:r>
      <w:r>
        <w:t xml:space="preserve"> Electricity Price Review Issues Paper, page 35 </w:t>
      </w:r>
    </w:p>
  </w:footnote>
  <w:footnote w:id="30">
    <w:p w14:paraId="52141415" w14:textId="77777777" w:rsidR="009E312C" w:rsidRDefault="009E312C" w:rsidP="00742906">
      <w:pPr>
        <w:pStyle w:val="FootnoteText"/>
      </w:pPr>
      <w:r>
        <w:rPr>
          <w:rStyle w:val="FootnoteReference"/>
        </w:rPr>
        <w:footnoteRef/>
      </w:r>
      <w:r>
        <w:t xml:space="preserve"> IEA report page 67</w:t>
      </w:r>
    </w:p>
  </w:footnote>
  <w:footnote w:id="31">
    <w:p w14:paraId="67534424" w14:textId="77777777" w:rsidR="009E312C" w:rsidRDefault="009E312C" w:rsidP="00742906">
      <w:pPr>
        <w:pStyle w:val="FootnoteText"/>
      </w:pPr>
      <w:r>
        <w:rPr>
          <w:rStyle w:val="FootnoteReference"/>
        </w:rPr>
        <w:footnoteRef/>
      </w:r>
      <w:r>
        <w:t xml:space="preserve"> IEA report page 19</w:t>
      </w:r>
    </w:p>
  </w:footnote>
  <w:footnote w:id="32">
    <w:p w14:paraId="006A031B" w14:textId="77777777" w:rsidR="009E312C" w:rsidRDefault="009E312C" w:rsidP="00742906">
      <w:pPr>
        <w:pStyle w:val="FootnoteText"/>
      </w:pPr>
      <w:r>
        <w:rPr>
          <w:rStyle w:val="FootnoteReference"/>
        </w:rPr>
        <w:footnoteRef/>
      </w:r>
      <w:r>
        <w:t xml:space="preserve"> Energy News “MARKET UPDATE: Uncertainty, volatility reflected in hedge markets”, 31 August 2018</w:t>
      </w:r>
    </w:p>
  </w:footnote>
  <w:footnote w:id="33">
    <w:p w14:paraId="7E05D71B" w14:textId="2A8D82A5" w:rsidR="009E312C" w:rsidRDefault="009E312C" w:rsidP="00742906">
      <w:pPr>
        <w:pStyle w:val="FootnoteText"/>
      </w:pPr>
      <w:r>
        <w:rPr>
          <w:rStyle w:val="FootnoteReference"/>
        </w:rPr>
        <w:footnoteRef/>
      </w:r>
      <w:r>
        <w:t xml:space="preserve"> </w:t>
      </w:r>
      <w:hyperlink r:id="rId14" w:history="1">
        <w:r w:rsidRPr="000F55CE">
          <w:rPr>
            <w:rStyle w:val="Hyperlink"/>
          </w:rPr>
          <w:t>https://www.ea.govt.nz/dmsdocument/23823-pioneer-energy</w:t>
        </w:r>
      </w:hyperlink>
      <w:r>
        <w:t xml:space="preserve"> page 2</w:t>
      </w:r>
    </w:p>
  </w:footnote>
  <w:footnote w:id="34">
    <w:p w14:paraId="411A1EC5" w14:textId="77777777" w:rsidR="009E312C" w:rsidRDefault="009E312C" w:rsidP="00742906">
      <w:pPr>
        <w:pStyle w:val="FootnoteText"/>
      </w:pPr>
      <w:r>
        <w:rPr>
          <w:rStyle w:val="FootnoteReference"/>
        </w:rPr>
        <w:footnoteRef/>
      </w:r>
      <w:r>
        <w:t xml:space="preserve"> </w:t>
      </w:r>
      <w:hyperlink r:id="rId15" w:history="1">
        <w:r w:rsidRPr="00A26769">
          <w:rPr>
            <w:rStyle w:val="Hyperlink"/>
          </w:rPr>
          <w:t>https://www.ea.govt.nz/dmsdocument/21695-ecotricity</w:t>
        </w:r>
      </w:hyperlink>
    </w:p>
  </w:footnote>
  <w:footnote w:id="35">
    <w:p w14:paraId="221B4C73" w14:textId="3C9CA562" w:rsidR="009E312C" w:rsidRDefault="009E312C" w:rsidP="00742906">
      <w:pPr>
        <w:shd w:val="clear" w:color="auto" w:fill="FFFFFF"/>
        <w:spacing w:after="0" w:line="240" w:lineRule="auto"/>
      </w:pPr>
      <w:r>
        <w:rPr>
          <w:rStyle w:val="FootnoteReference"/>
          <w:sz w:val="20"/>
          <w:szCs w:val="20"/>
        </w:rPr>
        <w:footnoteRef/>
      </w:r>
      <w:r>
        <w:t xml:space="preserve"> </w:t>
      </w:r>
      <w:hyperlink r:id="rId16" w:history="1">
        <w:r w:rsidRPr="00A54A7B">
          <w:rPr>
            <w:rStyle w:val="Hyperlink"/>
            <w:rFonts w:eastAsia="Times New Roman" w:cs="Arial"/>
            <w:sz w:val="20"/>
            <w:szCs w:val="20"/>
            <w:lang w:eastAsia="en-NZ"/>
          </w:rPr>
          <w:t>https://www.ofgem.gov.uk/system/files/docs/2016/08/wholesale_power_market_liquidity_annual_report_2016.pdf</w:t>
        </w:r>
      </w:hyperlink>
      <w:r w:rsidRPr="00A54A7B">
        <w:rPr>
          <w:rFonts w:eastAsia="Times New Roman" w:cs="Arial"/>
          <w:color w:val="222222"/>
          <w:sz w:val="20"/>
          <w:szCs w:val="20"/>
          <w:lang w:eastAsia="en-NZ"/>
        </w:rPr>
        <w:t xml:space="preserve"> page 19-20</w:t>
      </w:r>
    </w:p>
  </w:footnote>
  <w:footnote w:id="36">
    <w:p w14:paraId="0C50AC4D" w14:textId="77777777" w:rsidR="009E312C" w:rsidRPr="0004285B" w:rsidRDefault="009E312C" w:rsidP="00742906">
      <w:pPr>
        <w:pStyle w:val="FootnoteText"/>
      </w:pPr>
      <w:r>
        <w:rPr>
          <w:rStyle w:val="FootnoteReference"/>
        </w:rPr>
        <w:footnoteRef/>
      </w:r>
      <w:r>
        <w:t xml:space="preserve"> </w:t>
      </w:r>
      <w:r w:rsidRPr="0004285B">
        <w:rPr>
          <w:color w:val="222222"/>
        </w:rPr>
        <w:t xml:space="preserve">PJM </w:t>
      </w:r>
      <w:r>
        <w:rPr>
          <w:color w:val="222222"/>
        </w:rPr>
        <w:t xml:space="preserve">or Pennsylvania, Jersey, Maryland Power Pool operates a competitive wholesale electricity market </w:t>
      </w:r>
      <w:r w:rsidRPr="0004285B">
        <w:rPr>
          <w:color w:val="222222"/>
        </w:rPr>
        <w:t>in all or parts of Delaware, Illinois, Indiana, Kentucky, Maryland, Michigan, New Jersey, North Carolina, Ohio, Pennsylvania, Tennessee, Virginia, West Virginia and the District of Columbia</w:t>
      </w:r>
    </w:p>
  </w:footnote>
  <w:footnote w:id="37">
    <w:p w14:paraId="0DEEB541" w14:textId="77777777" w:rsidR="009E312C" w:rsidRDefault="009E312C" w:rsidP="00742906">
      <w:pPr>
        <w:pStyle w:val="FootnoteText"/>
      </w:pPr>
      <w:r>
        <w:rPr>
          <w:rStyle w:val="FootnoteReference"/>
        </w:rPr>
        <w:footnoteRef/>
      </w:r>
      <w:r>
        <w:t xml:space="preserve"> </w:t>
      </w:r>
      <w:hyperlink r:id="rId17" w:history="1">
        <w:r w:rsidRPr="00BC75B5">
          <w:rPr>
            <w:rStyle w:val="Hyperlink"/>
          </w:rPr>
          <w:t>https://www.ea.govt.nz/dmsdocument/19225-appendix-a-report-from-monitoring-analytics</w:t>
        </w:r>
      </w:hyperlink>
    </w:p>
  </w:footnote>
  <w:footnote w:id="38">
    <w:p w14:paraId="19AC49B2" w14:textId="77777777" w:rsidR="009E312C" w:rsidRDefault="009E312C" w:rsidP="00742906">
      <w:pPr>
        <w:pStyle w:val="FootnoteText"/>
      </w:pPr>
      <w:r>
        <w:rPr>
          <w:rStyle w:val="FootnoteReference"/>
        </w:rPr>
        <w:footnoteRef/>
      </w:r>
      <w:r>
        <w:t xml:space="preserve"> </w:t>
      </w:r>
      <w:hyperlink r:id="rId18" w:history="1">
        <w:r w:rsidRPr="002309C1">
          <w:rPr>
            <w:rStyle w:val="Hyperlink"/>
          </w:rPr>
          <w:t>https://www.mbie.govt.nz/info-services/sectors-industries/energy/electricity-price-review/consultation/first-report.pdf</w:t>
        </w:r>
      </w:hyperlink>
      <w:r>
        <w:t xml:space="preserve"> page 44</w:t>
      </w:r>
    </w:p>
  </w:footnote>
  <w:footnote w:id="39">
    <w:p w14:paraId="0193E54B" w14:textId="77777777" w:rsidR="009E312C" w:rsidRDefault="009E312C" w:rsidP="00742906">
      <w:pPr>
        <w:pStyle w:val="FootnoteText"/>
      </w:pPr>
      <w:r>
        <w:rPr>
          <w:rStyle w:val="FootnoteReference"/>
        </w:rPr>
        <w:footnoteRef/>
      </w:r>
      <w:r>
        <w:t xml:space="preserve"> </w:t>
      </w:r>
      <w:hyperlink r:id="rId19" w:history="1">
        <w:r w:rsidRPr="00923E2B">
          <w:rPr>
            <w:rStyle w:val="Hyperlink"/>
            <w:rFonts w:eastAsia="Times New Roman" w:cs="Arial"/>
            <w:lang w:eastAsia="en-NZ"/>
          </w:rPr>
          <w:t>https://www.ofgem.gov.uk/system/files/docs/2016/08/wholesale_power_market_liquidity_annual_report_2016.pdf</w:t>
        </w:r>
      </w:hyperlink>
      <w:r>
        <w:rPr>
          <w:rFonts w:eastAsia="Times New Roman" w:cs="Arial"/>
          <w:color w:val="222222"/>
          <w:lang w:eastAsia="en-NZ"/>
        </w:rPr>
        <w:t xml:space="preserve"> page 23-24</w:t>
      </w:r>
    </w:p>
  </w:footnote>
  <w:footnote w:id="40">
    <w:p w14:paraId="21D0277E" w14:textId="136E1EBA" w:rsidR="009E312C" w:rsidRDefault="009E312C" w:rsidP="00742906">
      <w:pPr>
        <w:pStyle w:val="FootnoteText"/>
      </w:pPr>
      <w:r>
        <w:rPr>
          <w:rStyle w:val="FootnoteReference"/>
        </w:rPr>
        <w:footnoteRef/>
      </w:r>
      <w:r>
        <w:t xml:space="preserve"> Electricity Price Review Issues Paper, page 44 </w:t>
      </w:r>
    </w:p>
  </w:footnote>
  <w:footnote w:id="41">
    <w:p w14:paraId="4987DDEC" w14:textId="277B75B6" w:rsidR="009E312C" w:rsidRDefault="009E312C" w:rsidP="00742906">
      <w:pPr>
        <w:pStyle w:val="FootnoteText"/>
      </w:pPr>
      <w:r>
        <w:rPr>
          <w:rStyle w:val="FootnoteReference"/>
        </w:rPr>
        <w:footnoteRef/>
      </w:r>
      <w:r>
        <w:t xml:space="preserve"> </w:t>
      </w:r>
      <w:hyperlink r:id="rId20" w:history="1">
        <w:r w:rsidRPr="000F55CE">
          <w:rPr>
            <w:rStyle w:val="Hyperlink"/>
          </w:rPr>
          <w:t>https://www.ea.govt.nz/dmsdocument/23186-letter-from-tair-to-ea-gm-market-performance-pir-of-save-protection-scheme</w:t>
        </w:r>
      </w:hyperlink>
    </w:p>
  </w:footnote>
  <w:footnote w:id="42">
    <w:p w14:paraId="7C598135" w14:textId="77777777" w:rsidR="009E312C" w:rsidRDefault="009E312C" w:rsidP="00742906">
      <w:pPr>
        <w:pStyle w:val="FootnoteText"/>
      </w:pPr>
      <w:r>
        <w:rPr>
          <w:rStyle w:val="FootnoteReference"/>
        </w:rPr>
        <w:footnoteRef/>
      </w:r>
      <w:r>
        <w:t xml:space="preserve"> </w:t>
      </w:r>
      <w:hyperlink r:id="rId21" w:history="1">
        <w:r w:rsidRPr="00650350">
          <w:rPr>
            <w:rStyle w:val="Hyperlink"/>
          </w:rPr>
          <w:t>https://www.ea.govt.nz/monitoring/enquiries-reviews-and-investigations/2017/review-of-fixed-price-variable-volume-commercial-offers/</w:t>
        </w:r>
      </w:hyperlink>
    </w:p>
  </w:footnote>
  <w:footnote w:id="43">
    <w:p w14:paraId="10BEC7F1" w14:textId="77777777" w:rsidR="009E312C" w:rsidRDefault="009E312C" w:rsidP="00742906">
      <w:pPr>
        <w:pStyle w:val="FootnoteText"/>
      </w:pPr>
      <w:r>
        <w:rPr>
          <w:rStyle w:val="FootnoteReference"/>
        </w:rPr>
        <w:footnoteRef/>
      </w:r>
      <w:r>
        <w:t xml:space="preserve"> </w:t>
      </w:r>
      <w:hyperlink r:id="rId22" w:history="1">
        <w:r w:rsidRPr="00650350">
          <w:rPr>
            <w:rStyle w:val="Hyperlink"/>
          </w:rPr>
          <w:t>https://www.meridianenergy.co.nz/assets/Investors/Reports-and-presentations/Annual-results-and-reports/2018/95098799a5/Meridian-Energy-Integrated-Report-for-the-year-ended-30-June-2018.pdf</w:t>
        </w:r>
      </w:hyperlink>
      <w:r>
        <w:t xml:space="preserve"> page 91</w:t>
      </w:r>
    </w:p>
  </w:footnote>
  <w:footnote w:id="44">
    <w:p w14:paraId="02091B6E" w14:textId="77777777" w:rsidR="009E312C" w:rsidRDefault="009E312C" w:rsidP="00742906">
      <w:pPr>
        <w:pStyle w:val="FootnoteText"/>
      </w:pPr>
      <w:r>
        <w:rPr>
          <w:rStyle w:val="FootnoteReference"/>
        </w:rPr>
        <w:footnoteRef/>
      </w:r>
      <w:r>
        <w:t xml:space="preserve"> </w:t>
      </w:r>
      <w:hyperlink r:id="rId23" w:history="1">
        <w:r w:rsidRPr="00650350">
          <w:rPr>
            <w:rStyle w:val="Hyperlink"/>
          </w:rPr>
          <w:t>https://issuu.com/mercurynz/docs/20180821_mercury_annual_report_2?e=25554184/64127255</w:t>
        </w:r>
      </w:hyperlink>
      <w:r>
        <w:t xml:space="preserve"> page 35</w:t>
      </w:r>
    </w:p>
  </w:footnote>
  <w:footnote w:id="45">
    <w:p w14:paraId="326E0B40" w14:textId="77777777" w:rsidR="009E312C" w:rsidRDefault="009E312C" w:rsidP="00742906">
      <w:pPr>
        <w:pStyle w:val="FootnoteText"/>
      </w:pPr>
      <w:r>
        <w:rPr>
          <w:rStyle w:val="FootnoteReference"/>
        </w:rPr>
        <w:footnoteRef/>
      </w:r>
      <w:r>
        <w:t xml:space="preserve"> </w:t>
      </w:r>
      <w:hyperlink r:id="rId24" w:history="1">
        <w:r w:rsidRPr="001F4486">
          <w:rPr>
            <w:rStyle w:val="Hyperlink"/>
          </w:rPr>
          <w:t>https://gesakentico.blob.core.windows.net/sitecontent/genesis/media/new-library-(dec-2017)/about_us/investor/pdfs/2018/full%20year/ge-annual-report-29aug-2018.pdf</w:t>
        </w:r>
      </w:hyperlink>
      <w:r>
        <w:t xml:space="preserve"> page 35</w:t>
      </w:r>
    </w:p>
    <w:p w14:paraId="42B26A3F" w14:textId="77777777" w:rsidR="009E312C" w:rsidRDefault="009E312C" w:rsidP="00742906">
      <w:pPr>
        <w:pStyle w:val="FootnoteText"/>
      </w:pPr>
    </w:p>
  </w:footnote>
  <w:footnote w:id="46">
    <w:p w14:paraId="51A2D51E" w14:textId="77777777" w:rsidR="009E312C" w:rsidRDefault="009E312C" w:rsidP="00742906">
      <w:pPr>
        <w:pStyle w:val="FootnoteText"/>
      </w:pPr>
      <w:r>
        <w:rPr>
          <w:rStyle w:val="FootnoteReference"/>
        </w:rPr>
        <w:footnoteRef/>
      </w:r>
      <w:r>
        <w:t xml:space="preserve"> </w:t>
      </w:r>
      <w:hyperlink r:id="rId25" w:history="1">
        <w:r w:rsidRPr="00650350">
          <w:rPr>
            <w:rStyle w:val="Hyperlink"/>
          </w:rPr>
          <w:t>https://contact.co.nz/-/media/contact/pdfs/about-us/investor-centre/media-releases/annual-report-2018-contact-energy.ashx</w:t>
        </w:r>
      </w:hyperlink>
      <w:r>
        <w:t xml:space="preserve"> page 54</w:t>
      </w:r>
    </w:p>
  </w:footnote>
  <w:footnote w:id="47">
    <w:p w14:paraId="6ED6BEC1" w14:textId="77777777" w:rsidR="009E312C" w:rsidRDefault="009E312C" w:rsidP="00742906">
      <w:pPr>
        <w:pStyle w:val="FootnoteText"/>
      </w:pPr>
      <w:r>
        <w:rPr>
          <w:rStyle w:val="FootnoteReference"/>
        </w:rPr>
        <w:footnoteRef/>
      </w:r>
      <w:r>
        <w:t xml:space="preserve"> </w:t>
      </w:r>
      <w:hyperlink r:id="rId26" w:history="1">
        <w:r w:rsidRPr="00650350">
          <w:rPr>
            <w:rStyle w:val="Hyperlink"/>
          </w:rPr>
          <w:t>https://www.trustpower.co.nz/-/media/Reports/TPL23495-Trust-Power-AR-2018_FA3-WEB_SP.ashx</w:t>
        </w:r>
      </w:hyperlink>
      <w:r>
        <w:t xml:space="preserve"> page 53</w:t>
      </w:r>
    </w:p>
  </w:footnote>
  <w:footnote w:id="48">
    <w:p w14:paraId="3F60F0AB" w14:textId="77777777" w:rsidR="009E312C" w:rsidRDefault="009E312C" w:rsidP="00742906">
      <w:pPr>
        <w:pStyle w:val="FootnoteText"/>
      </w:pPr>
      <w:r>
        <w:rPr>
          <w:rStyle w:val="FootnoteReference"/>
        </w:rPr>
        <w:footnoteRef/>
      </w:r>
      <w:r>
        <w:t xml:space="preserve"> Balance date of 30 June for Meridian, Mercury, Genesis and Contact and 31 March for Trustpower</w:t>
      </w:r>
    </w:p>
  </w:footnote>
  <w:footnote w:id="49">
    <w:p w14:paraId="740FDFCA" w14:textId="4BBFAB45" w:rsidR="009E312C" w:rsidRPr="00274F11" w:rsidRDefault="009E312C">
      <w:pPr>
        <w:pStyle w:val="FootnoteText"/>
        <w:rPr>
          <w:lang w:val="en-US"/>
        </w:rPr>
      </w:pPr>
      <w:r>
        <w:rPr>
          <w:rStyle w:val="FootnoteReference"/>
        </w:rPr>
        <w:footnoteRef/>
      </w:r>
      <w:r>
        <w:t xml:space="preserve"> PWC </w:t>
      </w:r>
      <w:r>
        <w:rPr>
          <w:lang w:val="en-US"/>
        </w:rPr>
        <w:t>analysis of electricity distribution business contributions, May 2018</w:t>
      </w:r>
    </w:p>
  </w:footnote>
  <w:footnote w:id="50">
    <w:p w14:paraId="46ADF5E6" w14:textId="4460075E" w:rsidR="009E312C" w:rsidRDefault="009E312C">
      <w:pPr>
        <w:pStyle w:val="FootnoteText"/>
      </w:pPr>
      <w:r>
        <w:rPr>
          <w:rStyle w:val="FootnoteReference"/>
        </w:rPr>
        <w:footnoteRef/>
      </w:r>
      <w:r>
        <w:t xml:space="preserve"> Source: Philippe Chanel, </w:t>
      </w:r>
      <w:r w:rsidRPr="00FB06B3">
        <w:rPr>
          <w:i/>
        </w:rPr>
        <w:t>Overview of Electricity Distribution in Europe – summary from Capgemini’s 2008 European benchmarking survey</w:t>
      </w:r>
    </w:p>
  </w:footnote>
  <w:footnote w:id="51">
    <w:p w14:paraId="3ED13EB8" w14:textId="72CF912A" w:rsidR="009E312C" w:rsidRDefault="009E312C">
      <w:pPr>
        <w:pStyle w:val="FootnoteText"/>
      </w:pPr>
      <w:r>
        <w:rPr>
          <w:rStyle w:val="FootnoteReference"/>
        </w:rPr>
        <w:footnoteRef/>
      </w:r>
      <w:r>
        <w:t xml:space="preserve"> IEA Review of NZ’s electricity sector 2017, pp 150</w:t>
      </w:r>
    </w:p>
  </w:footnote>
  <w:footnote w:id="52">
    <w:p w14:paraId="7E42236A" w14:textId="2C1BFB97" w:rsidR="009E312C" w:rsidRDefault="009E312C">
      <w:pPr>
        <w:pStyle w:val="FootnoteText"/>
      </w:pPr>
      <w:r>
        <w:rPr>
          <w:rStyle w:val="FootnoteReference"/>
        </w:rPr>
        <w:footnoteRef/>
      </w:r>
      <w:r>
        <w:t xml:space="preserve"> G Yarrow, Critique of IEA Review of New Zealand for Energy Trusts New Zealand, 2018</w:t>
      </w:r>
    </w:p>
  </w:footnote>
  <w:footnote w:id="53">
    <w:p w14:paraId="10007AC6" w14:textId="2AABD114" w:rsidR="009E312C" w:rsidRDefault="009E312C">
      <w:pPr>
        <w:pStyle w:val="FootnoteText"/>
      </w:pPr>
      <w:r>
        <w:rPr>
          <w:rStyle w:val="FootnoteReference"/>
        </w:rPr>
        <w:footnoteRef/>
      </w:r>
      <w:r>
        <w:t xml:space="preserve"> John Kwoka and Michael Pollitt, </w:t>
      </w:r>
      <w:r w:rsidRPr="00465928">
        <w:rPr>
          <w:i/>
        </w:rPr>
        <w:t>Industry Restructuring, Mergers and Efficiency: Evidence from Electric Power</w:t>
      </w:r>
      <w:r>
        <w:t>, EPRG 0708, Cambridge University, 2014</w:t>
      </w:r>
    </w:p>
  </w:footnote>
  <w:footnote w:id="54">
    <w:p w14:paraId="770E56F3" w14:textId="1F1E8F3A" w:rsidR="009E312C" w:rsidRDefault="009E312C">
      <w:pPr>
        <w:pStyle w:val="FootnoteText"/>
      </w:pPr>
      <w:r>
        <w:rPr>
          <w:rStyle w:val="FootnoteReference"/>
        </w:rPr>
        <w:footnoteRef/>
      </w:r>
      <w:r>
        <w:t xml:space="preserve"> A. Yatchew</w:t>
      </w:r>
      <w:r w:rsidRPr="006404CA">
        <w:rPr>
          <w:i/>
        </w:rPr>
        <w:t>, Scale Economies in Electricity Distribution: a semiparametric analysis</w:t>
      </w:r>
      <w:r>
        <w:t>, Journal of Applied Econometrics, 15, 2000</w:t>
      </w:r>
    </w:p>
  </w:footnote>
  <w:footnote w:id="55">
    <w:p w14:paraId="625D354D" w14:textId="1F219F28" w:rsidR="009E312C" w:rsidRDefault="009E312C">
      <w:pPr>
        <w:pStyle w:val="FootnoteText"/>
      </w:pPr>
      <w:r>
        <w:rPr>
          <w:rStyle w:val="FootnoteReference"/>
        </w:rPr>
        <w:footnoteRef/>
      </w:r>
      <w:r>
        <w:t xml:space="preserve"> Electricity Price Review, page 62</w:t>
      </w:r>
    </w:p>
  </w:footnote>
  <w:footnote w:id="56">
    <w:p w14:paraId="46142C92" w14:textId="7EA488DD" w:rsidR="009E312C" w:rsidRDefault="009E312C">
      <w:pPr>
        <w:pStyle w:val="FootnoteText"/>
      </w:pPr>
      <w:r>
        <w:rPr>
          <w:rStyle w:val="FootnoteReference"/>
        </w:rPr>
        <w:footnoteRef/>
      </w:r>
      <w:r>
        <w:t xml:space="preserve"> Ibid, page 64</w:t>
      </w:r>
    </w:p>
  </w:footnote>
  <w:footnote w:id="57">
    <w:p w14:paraId="2184A420" w14:textId="5995FAA4" w:rsidR="009E312C" w:rsidRDefault="009E312C">
      <w:pPr>
        <w:pStyle w:val="FootnoteText"/>
      </w:pPr>
      <w:r>
        <w:rPr>
          <w:rStyle w:val="FootnoteReference"/>
        </w:rPr>
        <w:footnoteRef/>
      </w:r>
      <w:r>
        <w:t xml:space="preserve"> Ibid, page 70</w:t>
      </w:r>
    </w:p>
  </w:footnote>
  <w:footnote w:id="58">
    <w:p w14:paraId="13E33ADA" w14:textId="517A3D7E" w:rsidR="009E312C" w:rsidRDefault="009E312C">
      <w:pPr>
        <w:pStyle w:val="FootnoteText"/>
      </w:pPr>
      <w:r>
        <w:rPr>
          <w:rStyle w:val="FootnoteReference"/>
        </w:rPr>
        <w:footnoteRef/>
      </w:r>
      <w:r>
        <w:t xml:space="preserve"> </w:t>
      </w:r>
      <w:hyperlink r:id="rId27" w:history="1">
        <w:r w:rsidRPr="000F55CE">
          <w:rPr>
            <w:rStyle w:val="Hyperlink"/>
          </w:rPr>
          <w:t>https://www.productivity.govt.nz/sites/default/files/Productivity%20Commission_Low-emissions%20economy_Final%20Report_FINAL_2.pdf</w:t>
        </w:r>
      </w:hyperlink>
    </w:p>
    <w:p w14:paraId="48E7D00B" w14:textId="77777777" w:rsidR="009E312C" w:rsidRDefault="009E312C">
      <w:pPr>
        <w:pStyle w:val="FootnoteText"/>
      </w:pPr>
    </w:p>
  </w:footnote>
  <w:footnote w:id="59">
    <w:p w14:paraId="7A4985A5" w14:textId="084526BB" w:rsidR="009E312C" w:rsidRPr="00806F08" w:rsidRDefault="009E312C">
      <w:pPr>
        <w:pStyle w:val="FootnoteText"/>
        <w:rPr>
          <w:lang w:val="en-US"/>
        </w:rPr>
      </w:pPr>
      <w:r>
        <w:rPr>
          <w:rStyle w:val="FootnoteReference"/>
        </w:rPr>
        <w:footnoteRef/>
      </w:r>
      <w:r>
        <w:t xml:space="preserve"> </w:t>
      </w:r>
      <w:r>
        <w:rPr>
          <w:lang w:val="en-US"/>
        </w:rPr>
        <w:t>Commerce Commission memo to Electricity Pricing Review Panel, June 8, 2018, page 6.</w:t>
      </w:r>
    </w:p>
  </w:footnote>
  <w:footnote w:id="60">
    <w:p w14:paraId="1D963BC3" w14:textId="32848A65" w:rsidR="009E312C" w:rsidRDefault="009E312C">
      <w:pPr>
        <w:pStyle w:val="FootnoteText"/>
      </w:pPr>
      <w:r>
        <w:rPr>
          <w:rStyle w:val="FootnoteReference"/>
        </w:rPr>
        <w:footnoteRef/>
      </w:r>
      <w:r>
        <w:t xml:space="preserve"> Electricity Price Review Issues Paper, page 78</w:t>
      </w:r>
    </w:p>
  </w:footnote>
  <w:footnote w:id="61">
    <w:p w14:paraId="6CF125DC" w14:textId="4BF93574" w:rsidR="009E312C" w:rsidRDefault="009E312C">
      <w:pPr>
        <w:pStyle w:val="FootnoteText"/>
      </w:pPr>
      <w:r>
        <w:rPr>
          <w:rStyle w:val="FootnoteReference"/>
        </w:rPr>
        <w:footnoteRef/>
      </w:r>
      <w:r>
        <w:t xml:space="preserve"> </w:t>
      </w:r>
      <w:hyperlink r:id="rId28" w:history="1">
        <w:r w:rsidRPr="000F55CE">
          <w:rPr>
            <w:rStyle w:val="Hyperlink"/>
          </w:rPr>
          <w:t>https://www.nzherald.co.nz/nz/news/article.cfm?c_id=1&amp;objectid=12124631</w:t>
        </w:r>
      </w:hyperlink>
    </w:p>
    <w:p w14:paraId="195B3E2B" w14:textId="77777777" w:rsidR="009E312C" w:rsidRDefault="009E312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4AB6"/>
    <w:multiLevelType w:val="hybridMultilevel"/>
    <w:tmpl w:val="D5DA9CBC"/>
    <w:lvl w:ilvl="0" w:tplc="14090001">
      <w:start w:val="1"/>
      <w:numFmt w:val="bullet"/>
      <w:lvlText w:val=""/>
      <w:lvlJc w:val="left"/>
      <w:pPr>
        <w:ind w:left="2115" w:hanging="360"/>
      </w:pPr>
      <w:rPr>
        <w:rFonts w:ascii="Symbol" w:hAnsi="Symbol" w:hint="default"/>
      </w:rPr>
    </w:lvl>
    <w:lvl w:ilvl="1" w:tplc="14090003" w:tentative="1">
      <w:start w:val="1"/>
      <w:numFmt w:val="bullet"/>
      <w:lvlText w:val="o"/>
      <w:lvlJc w:val="left"/>
      <w:pPr>
        <w:ind w:left="2835" w:hanging="360"/>
      </w:pPr>
      <w:rPr>
        <w:rFonts w:ascii="Courier New" w:hAnsi="Courier New" w:cs="Courier New" w:hint="default"/>
      </w:rPr>
    </w:lvl>
    <w:lvl w:ilvl="2" w:tplc="14090005" w:tentative="1">
      <w:start w:val="1"/>
      <w:numFmt w:val="bullet"/>
      <w:lvlText w:val=""/>
      <w:lvlJc w:val="left"/>
      <w:pPr>
        <w:ind w:left="3555" w:hanging="360"/>
      </w:pPr>
      <w:rPr>
        <w:rFonts w:ascii="Wingdings" w:hAnsi="Wingdings" w:hint="default"/>
      </w:rPr>
    </w:lvl>
    <w:lvl w:ilvl="3" w:tplc="14090001" w:tentative="1">
      <w:start w:val="1"/>
      <w:numFmt w:val="bullet"/>
      <w:lvlText w:val=""/>
      <w:lvlJc w:val="left"/>
      <w:pPr>
        <w:ind w:left="4275" w:hanging="360"/>
      </w:pPr>
      <w:rPr>
        <w:rFonts w:ascii="Symbol" w:hAnsi="Symbol" w:hint="default"/>
      </w:rPr>
    </w:lvl>
    <w:lvl w:ilvl="4" w:tplc="14090003" w:tentative="1">
      <w:start w:val="1"/>
      <w:numFmt w:val="bullet"/>
      <w:lvlText w:val="o"/>
      <w:lvlJc w:val="left"/>
      <w:pPr>
        <w:ind w:left="4995" w:hanging="360"/>
      </w:pPr>
      <w:rPr>
        <w:rFonts w:ascii="Courier New" w:hAnsi="Courier New" w:cs="Courier New" w:hint="default"/>
      </w:rPr>
    </w:lvl>
    <w:lvl w:ilvl="5" w:tplc="14090005" w:tentative="1">
      <w:start w:val="1"/>
      <w:numFmt w:val="bullet"/>
      <w:lvlText w:val=""/>
      <w:lvlJc w:val="left"/>
      <w:pPr>
        <w:ind w:left="5715" w:hanging="360"/>
      </w:pPr>
      <w:rPr>
        <w:rFonts w:ascii="Wingdings" w:hAnsi="Wingdings" w:hint="default"/>
      </w:rPr>
    </w:lvl>
    <w:lvl w:ilvl="6" w:tplc="14090001" w:tentative="1">
      <w:start w:val="1"/>
      <w:numFmt w:val="bullet"/>
      <w:lvlText w:val=""/>
      <w:lvlJc w:val="left"/>
      <w:pPr>
        <w:ind w:left="6435" w:hanging="360"/>
      </w:pPr>
      <w:rPr>
        <w:rFonts w:ascii="Symbol" w:hAnsi="Symbol" w:hint="default"/>
      </w:rPr>
    </w:lvl>
    <w:lvl w:ilvl="7" w:tplc="14090003" w:tentative="1">
      <w:start w:val="1"/>
      <w:numFmt w:val="bullet"/>
      <w:lvlText w:val="o"/>
      <w:lvlJc w:val="left"/>
      <w:pPr>
        <w:ind w:left="7155" w:hanging="360"/>
      </w:pPr>
      <w:rPr>
        <w:rFonts w:ascii="Courier New" w:hAnsi="Courier New" w:cs="Courier New" w:hint="default"/>
      </w:rPr>
    </w:lvl>
    <w:lvl w:ilvl="8" w:tplc="14090005" w:tentative="1">
      <w:start w:val="1"/>
      <w:numFmt w:val="bullet"/>
      <w:lvlText w:val=""/>
      <w:lvlJc w:val="left"/>
      <w:pPr>
        <w:ind w:left="7875" w:hanging="360"/>
      </w:pPr>
      <w:rPr>
        <w:rFonts w:ascii="Wingdings" w:hAnsi="Wingdings" w:hint="default"/>
      </w:rPr>
    </w:lvl>
  </w:abstractNum>
  <w:abstractNum w:abstractNumId="1" w15:restartNumberingAfterBreak="0">
    <w:nsid w:val="034D4945"/>
    <w:multiLevelType w:val="hybridMultilevel"/>
    <w:tmpl w:val="5CEC4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DB07E2"/>
    <w:multiLevelType w:val="hybridMultilevel"/>
    <w:tmpl w:val="CCD80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8504FC"/>
    <w:multiLevelType w:val="hybridMultilevel"/>
    <w:tmpl w:val="DCCAC156"/>
    <w:lvl w:ilvl="0" w:tplc="14090001">
      <w:start w:val="1"/>
      <w:numFmt w:val="bullet"/>
      <w:lvlText w:val=""/>
      <w:lvlJc w:val="left"/>
      <w:pPr>
        <w:ind w:left="1800" w:hanging="360"/>
      </w:pPr>
      <w:rPr>
        <w:rFonts w:ascii="Symbol" w:hAnsi="Symbol" w:hint="default"/>
        <w:b/>
        <w:color w:val="auto"/>
        <w:sz w:val="22"/>
        <w:szCs w:val="22"/>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0597317A"/>
    <w:multiLevelType w:val="hybridMultilevel"/>
    <w:tmpl w:val="90BAD0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F92A4A"/>
    <w:multiLevelType w:val="hybridMultilevel"/>
    <w:tmpl w:val="2272BC1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15:restartNumberingAfterBreak="0">
    <w:nsid w:val="07240D5A"/>
    <w:multiLevelType w:val="hybridMultilevel"/>
    <w:tmpl w:val="DE68F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B1260A0"/>
    <w:multiLevelType w:val="hybridMultilevel"/>
    <w:tmpl w:val="3BAA5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CE558DB"/>
    <w:multiLevelType w:val="hybridMultilevel"/>
    <w:tmpl w:val="B7AE446A"/>
    <w:lvl w:ilvl="0" w:tplc="14090001">
      <w:start w:val="1"/>
      <w:numFmt w:val="bullet"/>
      <w:lvlText w:val=""/>
      <w:lvlJc w:val="left"/>
      <w:pPr>
        <w:ind w:left="1170" w:hanging="360"/>
      </w:pPr>
      <w:rPr>
        <w:rFonts w:ascii="Symbol" w:hAnsi="Symbol" w:hint="default"/>
      </w:rPr>
    </w:lvl>
    <w:lvl w:ilvl="1" w:tplc="14090003" w:tentative="1">
      <w:start w:val="1"/>
      <w:numFmt w:val="bullet"/>
      <w:lvlText w:val="o"/>
      <w:lvlJc w:val="left"/>
      <w:pPr>
        <w:ind w:left="1890" w:hanging="360"/>
      </w:pPr>
      <w:rPr>
        <w:rFonts w:ascii="Courier New" w:hAnsi="Courier New" w:cs="Courier New" w:hint="default"/>
      </w:rPr>
    </w:lvl>
    <w:lvl w:ilvl="2" w:tplc="14090005" w:tentative="1">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cs="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cs="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9" w15:restartNumberingAfterBreak="0">
    <w:nsid w:val="0D1815BE"/>
    <w:multiLevelType w:val="hybridMultilevel"/>
    <w:tmpl w:val="7FF09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D9E1C44"/>
    <w:multiLevelType w:val="hybridMultilevel"/>
    <w:tmpl w:val="3012A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DD73497"/>
    <w:multiLevelType w:val="hybridMultilevel"/>
    <w:tmpl w:val="17707DE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0F8F0C80"/>
    <w:multiLevelType w:val="hybridMultilevel"/>
    <w:tmpl w:val="95881E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2462E2"/>
    <w:multiLevelType w:val="hybridMultilevel"/>
    <w:tmpl w:val="715C41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04B424B"/>
    <w:multiLevelType w:val="hybridMultilevel"/>
    <w:tmpl w:val="E7C2AE8E"/>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15" w15:restartNumberingAfterBreak="0">
    <w:nsid w:val="14180917"/>
    <w:multiLevelType w:val="hybridMultilevel"/>
    <w:tmpl w:val="F3825A7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6" w15:restartNumberingAfterBreak="0">
    <w:nsid w:val="15C6026D"/>
    <w:multiLevelType w:val="hybridMultilevel"/>
    <w:tmpl w:val="65DE8BC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181936B8"/>
    <w:multiLevelType w:val="hybridMultilevel"/>
    <w:tmpl w:val="A334B368"/>
    <w:lvl w:ilvl="0" w:tplc="E5EC4140">
      <w:start w:val="21"/>
      <w:numFmt w:val="decimal"/>
      <w:lvlText w:val="%1."/>
      <w:lvlJc w:val="left"/>
      <w:pPr>
        <w:ind w:left="900" w:hanging="360"/>
      </w:pPr>
      <w:rPr>
        <w:rFonts w:hint="default"/>
      </w:rPr>
    </w:lvl>
    <w:lvl w:ilvl="1" w:tplc="14090019" w:tentative="1">
      <w:start w:val="1"/>
      <w:numFmt w:val="lowerLetter"/>
      <w:lvlText w:val="%2."/>
      <w:lvlJc w:val="left"/>
      <w:pPr>
        <w:ind w:left="1620" w:hanging="360"/>
      </w:pPr>
    </w:lvl>
    <w:lvl w:ilvl="2" w:tplc="1409001B" w:tentative="1">
      <w:start w:val="1"/>
      <w:numFmt w:val="lowerRoman"/>
      <w:lvlText w:val="%3."/>
      <w:lvlJc w:val="right"/>
      <w:pPr>
        <w:ind w:left="2340" w:hanging="180"/>
      </w:pPr>
    </w:lvl>
    <w:lvl w:ilvl="3" w:tplc="1409000F" w:tentative="1">
      <w:start w:val="1"/>
      <w:numFmt w:val="decimal"/>
      <w:lvlText w:val="%4."/>
      <w:lvlJc w:val="left"/>
      <w:pPr>
        <w:ind w:left="3060" w:hanging="360"/>
      </w:pPr>
    </w:lvl>
    <w:lvl w:ilvl="4" w:tplc="14090019" w:tentative="1">
      <w:start w:val="1"/>
      <w:numFmt w:val="lowerLetter"/>
      <w:lvlText w:val="%5."/>
      <w:lvlJc w:val="left"/>
      <w:pPr>
        <w:ind w:left="3780" w:hanging="360"/>
      </w:pPr>
    </w:lvl>
    <w:lvl w:ilvl="5" w:tplc="1409001B" w:tentative="1">
      <w:start w:val="1"/>
      <w:numFmt w:val="lowerRoman"/>
      <w:lvlText w:val="%6."/>
      <w:lvlJc w:val="right"/>
      <w:pPr>
        <w:ind w:left="4500" w:hanging="180"/>
      </w:pPr>
    </w:lvl>
    <w:lvl w:ilvl="6" w:tplc="1409000F" w:tentative="1">
      <w:start w:val="1"/>
      <w:numFmt w:val="decimal"/>
      <w:lvlText w:val="%7."/>
      <w:lvlJc w:val="left"/>
      <w:pPr>
        <w:ind w:left="5220" w:hanging="360"/>
      </w:pPr>
    </w:lvl>
    <w:lvl w:ilvl="7" w:tplc="14090019" w:tentative="1">
      <w:start w:val="1"/>
      <w:numFmt w:val="lowerLetter"/>
      <w:lvlText w:val="%8."/>
      <w:lvlJc w:val="left"/>
      <w:pPr>
        <w:ind w:left="5940" w:hanging="360"/>
      </w:pPr>
    </w:lvl>
    <w:lvl w:ilvl="8" w:tplc="1409001B" w:tentative="1">
      <w:start w:val="1"/>
      <w:numFmt w:val="lowerRoman"/>
      <w:lvlText w:val="%9."/>
      <w:lvlJc w:val="right"/>
      <w:pPr>
        <w:ind w:left="6660" w:hanging="180"/>
      </w:pPr>
    </w:lvl>
  </w:abstractNum>
  <w:abstractNum w:abstractNumId="18" w15:restartNumberingAfterBreak="0">
    <w:nsid w:val="18663C3A"/>
    <w:multiLevelType w:val="hybridMultilevel"/>
    <w:tmpl w:val="56A4259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19190EF8"/>
    <w:multiLevelType w:val="hybridMultilevel"/>
    <w:tmpl w:val="E52444C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0" w15:restartNumberingAfterBreak="0">
    <w:nsid w:val="198943F7"/>
    <w:multiLevelType w:val="hybridMultilevel"/>
    <w:tmpl w:val="61DEF96A"/>
    <w:lvl w:ilvl="0" w:tplc="E1F654C6">
      <w:start w:val="1"/>
      <w:numFmt w:val="decimal"/>
      <w:pStyle w:val="numberbullet"/>
      <w:lvlText w:val="%1."/>
      <w:lvlJc w:val="left"/>
      <w:pPr>
        <w:ind w:left="567" w:hanging="567"/>
      </w:pPr>
      <w:rPr>
        <w:rFonts w:hint="default"/>
        <w:b/>
        <w:i w:val="0"/>
        <w:color w:val="auto"/>
        <w:sz w:val="22"/>
        <w:szCs w:val="22"/>
      </w:rPr>
    </w:lvl>
    <w:lvl w:ilvl="1" w:tplc="8076D298">
      <w:start w:val="1"/>
      <w:numFmt w:val="bullet"/>
      <w:lvlText w:val="o"/>
      <w:lvlJc w:val="left"/>
      <w:pPr>
        <w:ind w:left="1191" w:hanging="17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1A7C4C2E"/>
    <w:multiLevelType w:val="hybridMultilevel"/>
    <w:tmpl w:val="6D26B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B5A07D4"/>
    <w:multiLevelType w:val="hybridMultilevel"/>
    <w:tmpl w:val="F654B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D2E26AB"/>
    <w:multiLevelType w:val="hybridMultilevel"/>
    <w:tmpl w:val="667E6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E0D0C9E"/>
    <w:multiLevelType w:val="hybridMultilevel"/>
    <w:tmpl w:val="108AFD7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5" w15:restartNumberingAfterBreak="0">
    <w:nsid w:val="1EAF4962"/>
    <w:multiLevelType w:val="hybridMultilevel"/>
    <w:tmpl w:val="130C24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22C7564D"/>
    <w:multiLevelType w:val="hybridMultilevel"/>
    <w:tmpl w:val="D562A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30B0EBA"/>
    <w:multiLevelType w:val="hybridMultilevel"/>
    <w:tmpl w:val="733AF2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4615138"/>
    <w:multiLevelType w:val="hybridMultilevel"/>
    <w:tmpl w:val="10D2A89A"/>
    <w:lvl w:ilvl="0" w:tplc="14090001">
      <w:start w:val="1"/>
      <w:numFmt w:val="bullet"/>
      <w:lvlText w:val=""/>
      <w:lvlJc w:val="left"/>
      <w:pPr>
        <w:ind w:left="720" w:hanging="360"/>
      </w:pPr>
      <w:rPr>
        <w:rFonts w:ascii="Symbol" w:hAnsi="Symbol" w:hint="default"/>
        <w:b/>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5DB03D6"/>
    <w:multiLevelType w:val="hybridMultilevel"/>
    <w:tmpl w:val="79DC80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7E95AE8"/>
    <w:multiLevelType w:val="hybridMultilevel"/>
    <w:tmpl w:val="789C5AD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293A5419"/>
    <w:multiLevelType w:val="hybridMultilevel"/>
    <w:tmpl w:val="005AF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94F7229"/>
    <w:multiLevelType w:val="hybridMultilevel"/>
    <w:tmpl w:val="C1569D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BBF6F82"/>
    <w:multiLevelType w:val="hybridMultilevel"/>
    <w:tmpl w:val="752227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C9041E3"/>
    <w:multiLevelType w:val="hybridMultilevel"/>
    <w:tmpl w:val="C2D63D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D65247B"/>
    <w:multiLevelType w:val="hybridMultilevel"/>
    <w:tmpl w:val="3072E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F76049D"/>
    <w:multiLevelType w:val="hybridMultilevel"/>
    <w:tmpl w:val="085E72D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32483108"/>
    <w:multiLevelType w:val="hybridMultilevel"/>
    <w:tmpl w:val="B52CF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8EC6739"/>
    <w:multiLevelType w:val="hybridMultilevel"/>
    <w:tmpl w:val="F71CAD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A8362D6"/>
    <w:multiLevelType w:val="hybridMultilevel"/>
    <w:tmpl w:val="4934B2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BD92B30"/>
    <w:multiLevelType w:val="hybridMultilevel"/>
    <w:tmpl w:val="14F2D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C0C4A6D"/>
    <w:multiLevelType w:val="hybridMultilevel"/>
    <w:tmpl w:val="E41C9360"/>
    <w:lvl w:ilvl="0" w:tplc="1409000F">
      <w:start w:val="1"/>
      <w:numFmt w:val="decimal"/>
      <w:lvlText w:val="%1."/>
      <w:lvlJc w:val="left"/>
      <w:pPr>
        <w:ind w:left="-180" w:hanging="360"/>
      </w:pPr>
    </w:lvl>
    <w:lvl w:ilvl="1" w:tplc="14090019" w:tentative="1">
      <w:start w:val="1"/>
      <w:numFmt w:val="lowerLetter"/>
      <w:lvlText w:val="%2."/>
      <w:lvlJc w:val="left"/>
      <w:pPr>
        <w:ind w:left="540" w:hanging="360"/>
      </w:pPr>
    </w:lvl>
    <w:lvl w:ilvl="2" w:tplc="1409001B" w:tentative="1">
      <w:start w:val="1"/>
      <w:numFmt w:val="lowerRoman"/>
      <w:lvlText w:val="%3."/>
      <w:lvlJc w:val="right"/>
      <w:pPr>
        <w:ind w:left="1260" w:hanging="180"/>
      </w:pPr>
    </w:lvl>
    <w:lvl w:ilvl="3" w:tplc="1409000F" w:tentative="1">
      <w:start w:val="1"/>
      <w:numFmt w:val="decimal"/>
      <w:lvlText w:val="%4."/>
      <w:lvlJc w:val="left"/>
      <w:pPr>
        <w:ind w:left="1980" w:hanging="360"/>
      </w:pPr>
    </w:lvl>
    <w:lvl w:ilvl="4" w:tplc="14090019" w:tentative="1">
      <w:start w:val="1"/>
      <w:numFmt w:val="lowerLetter"/>
      <w:lvlText w:val="%5."/>
      <w:lvlJc w:val="left"/>
      <w:pPr>
        <w:ind w:left="2700" w:hanging="360"/>
      </w:pPr>
    </w:lvl>
    <w:lvl w:ilvl="5" w:tplc="1409001B" w:tentative="1">
      <w:start w:val="1"/>
      <w:numFmt w:val="lowerRoman"/>
      <w:lvlText w:val="%6."/>
      <w:lvlJc w:val="right"/>
      <w:pPr>
        <w:ind w:left="3420" w:hanging="180"/>
      </w:pPr>
    </w:lvl>
    <w:lvl w:ilvl="6" w:tplc="1409000F" w:tentative="1">
      <w:start w:val="1"/>
      <w:numFmt w:val="decimal"/>
      <w:lvlText w:val="%7."/>
      <w:lvlJc w:val="left"/>
      <w:pPr>
        <w:ind w:left="4140" w:hanging="360"/>
      </w:pPr>
    </w:lvl>
    <w:lvl w:ilvl="7" w:tplc="14090019" w:tentative="1">
      <w:start w:val="1"/>
      <w:numFmt w:val="lowerLetter"/>
      <w:lvlText w:val="%8."/>
      <w:lvlJc w:val="left"/>
      <w:pPr>
        <w:ind w:left="4860" w:hanging="360"/>
      </w:pPr>
    </w:lvl>
    <w:lvl w:ilvl="8" w:tplc="1409001B" w:tentative="1">
      <w:start w:val="1"/>
      <w:numFmt w:val="lowerRoman"/>
      <w:lvlText w:val="%9."/>
      <w:lvlJc w:val="right"/>
      <w:pPr>
        <w:ind w:left="5580" w:hanging="180"/>
      </w:pPr>
    </w:lvl>
  </w:abstractNum>
  <w:abstractNum w:abstractNumId="42" w15:restartNumberingAfterBreak="0">
    <w:nsid w:val="3C4310A9"/>
    <w:multiLevelType w:val="hybridMultilevel"/>
    <w:tmpl w:val="AE601E28"/>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43" w15:restartNumberingAfterBreak="0">
    <w:nsid w:val="415C39FC"/>
    <w:multiLevelType w:val="hybridMultilevel"/>
    <w:tmpl w:val="738E6E90"/>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44" w15:restartNumberingAfterBreak="0">
    <w:nsid w:val="456150F8"/>
    <w:multiLevelType w:val="hybridMultilevel"/>
    <w:tmpl w:val="BF1E5EF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5" w15:restartNumberingAfterBreak="0">
    <w:nsid w:val="456F7DB0"/>
    <w:multiLevelType w:val="hybridMultilevel"/>
    <w:tmpl w:val="C6BA712C"/>
    <w:lvl w:ilvl="0" w:tplc="14090001">
      <w:start w:val="1"/>
      <w:numFmt w:val="bullet"/>
      <w:lvlText w:val=""/>
      <w:lvlJc w:val="left"/>
      <w:pPr>
        <w:ind w:left="1353" w:hanging="360"/>
      </w:pPr>
      <w:rPr>
        <w:rFonts w:ascii="Symbol" w:hAnsi="Symbol" w:hint="default"/>
      </w:rPr>
    </w:lvl>
    <w:lvl w:ilvl="1" w:tplc="14090003">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46" w15:restartNumberingAfterBreak="0">
    <w:nsid w:val="49A631B6"/>
    <w:multiLevelType w:val="hybridMultilevel"/>
    <w:tmpl w:val="B76C1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DA036FE"/>
    <w:multiLevelType w:val="hybridMultilevel"/>
    <w:tmpl w:val="EDA8E820"/>
    <w:lvl w:ilvl="0" w:tplc="A9CA41D4">
      <w:start w:val="12"/>
      <w:numFmt w:val="decimal"/>
      <w:lvlText w:val="%1."/>
      <w:lvlJc w:val="left"/>
      <w:pPr>
        <w:ind w:left="720" w:hanging="360"/>
      </w:pPr>
      <w:rPr>
        <w:rFonts w:hint="default"/>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1097E6D"/>
    <w:multiLevelType w:val="hybridMultilevel"/>
    <w:tmpl w:val="B3AC7E1E"/>
    <w:lvl w:ilvl="0" w:tplc="E0ACB7E2">
      <w:start w:val="1"/>
      <w:numFmt w:val="decimal"/>
      <w:lvlText w:val="%1."/>
      <w:lvlJc w:val="left"/>
      <w:pPr>
        <w:ind w:left="-522" w:hanging="360"/>
      </w:pPr>
      <w:rPr>
        <w:rFonts w:asciiTheme="minorHAnsi" w:hAnsiTheme="minorHAnsi" w:cstheme="minorBidi" w:hint="default"/>
        <w:b/>
        <w:sz w:val="22"/>
      </w:rPr>
    </w:lvl>
    <w:lvl w:ilvl="1" w:tplc="14090001">
      <w:start w:val="1"/>
      <w:numFmt w:val="bullet"/>
      <w:lvlText w:val=""/>
      <w:lvlJc w:val="left"/>
      <w:pPr>
        <w:ind w:left="198" w:hanging="360"/>
      </w:pPr>
      <w:rPr>
        <w:rFonts w:ascii="Symbol" w:hAnsi="Symbol" w:hint="default"/>
      </w:rPr>
    </w:lvl>
    <w:lvl w:ilvl="2" w:tplc="1409001B" w:tentative="1">
      <w:start w:val="1"/>
      <w:numFmt w:val="lowerRoman"/>
      <w:lvlText w:val="%3."/>
      <w:lvlJc w:val="right"/>
      <w:pPr>
        <w:ind w:left="918" w:hanging="180"/>
      </w:pPr>
    </w:lvl>
    <w:lvl w:ilvl="3" w:tplc="1409000F" w:tentative="1">
      <w:start w:val="1"/>
      <w:numFmt w:val="decimal"/>
      <w:lvlText w:val="%4."/>
      <w:lvlJc w:val="left"/>
      <w:pPr>
        <w:ind w:left="1638" w:hanging="360"/>
      </w:pPr>
    </w:lvl>
    <w:lvl w:ilvl="4" w:tplc="14090019" w:tentative="1">
      <w:start w:val="1"/>
      <w:numFmt w:val="lowerLetter"/>
      <w:lvlText w:val="%5."/>
      <w:lvlJc w:val="left"/>
      <w:pPr>
        <w:ind w:left="2358" w:hanging="360"/>
      </w:pPr>
    </w:lvl>
    <w:lvl w:ilvl="5" w:tplc="1409001B" w:tentative="1">
      <w:start w:val="1"/>
      <w:numFmt w:val="lowerRoman"/>
      <w:lvlText w:val="%6."/>
      <w:lvlJc w:val="right"/>
      <w:pPr>
        <w:ind w:left="3078" w:hanging="180"/>
      </w:pPr>
    </w:lvl>
    <w:lvl w:ilvl="6" w:tplc="1409000F" w:tentative="1">
      <w:start w:val="1"/>
      <w:numFmt w:val="decimal"/>
      <w:lvlText w:val="%7."/>
      <w:lvlJc w:val="left"/>
      <w:pPr>
        <w:ind w:left="3798" w:hanging="360"/>
      </w:pPr>
    </w:lvl>
    <w:lvl w:ilvl="7" w:tplc="14090019" w:tentative="1">
      <w:start w:val="1"/>
      <w:numFmt w:val="lowerLetter"/>
      <w:lvlText w:val="%8."/>
      <w:lvlJc w:val="left"/>
      <w:pPr>
        <w:ind w:left="4518" w:hanging="360"/>
      </w:pPr>
    </w:lvl>
    <w:lvl w:ilvl="8" w:tplc="1409001B" w:tentative="1">
      <w:start w:val="1"/>
      <w:numFmt w:val="lowerRoman"/>
      <w:lvlText w:val="%9."/>
      <w:lvlJc w:val="right"/>
      <w:pPr>
        <w:ind w:left="5238" w:hanging="180"/>
      </w:pPr>
    </w:lvl>
  </w:abstractNum>
  <w:abstractNum w:abstractNumId="49" w15:restartNumberingAfterBreak="0">
    <w:nsid w:val="52AE3291"/>
    <w:multiLevelType w:val="hybridMultilevel"/>
    <w:tmpl w:val="44640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4D07763"/>
    <w:multiLevelType w:val="hybridMultilevel"/>
    <w:tmpl w:val="DBEC859C"/>
    <w:lvl w:ilvl="0" w:tplc="98B274B6">
      <w:start w:val="1"/>
      <w:numFmt w:val="bullet"/>
      <w:lvlText w:val="-"/>
      <w:lvlJc w:val="left"/>
      <w:pPr>
        <w:ind w:left="1287" w:hanging="360"/>
      </w:pPr>
      <w:rPr>
        <w:rFonts w:ascii="Courier New" w:hAnsi="Courier New"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1" w15:restartNumberingAfterBreak="0">
    <w:nsid w:val="54F327AA"/>
    <w:multiLevelType w:val="hybridMultilevel"/>
    <w:tmpl w:val="ABCAF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5DD3502"/>
    <w:multiLevelType w:val="hybridMultilevel"/>
    <w:tmpl w:val="BBA42C2A"/>
    <w:lvl w:ilvl="0" w:tplc="14090001">
      <w:start w:val="1"/>
      <w:numFmt w:val="bullet"/>
      <w:lvlText w:val=""/>
      <w:lvlJc w:val="left"/>
      <w:pPr>
        <w:ind w:left="567" w:hanging="567"/>
      </w:pPr>
      <w:rPr>
        <w:rFonts w:ascii="Symbol" w:hAnsi="Symbol" w:hint="default"/>
        <w:b/>
        <w:color w:val="auto"/>
        <w:sz w:val="22"/>
        <w:szCs w:val="22"/>
      </w:rPr>
    </w:lvl>
    <w:lvl w:ilvl="1" w:tplc="8076D298">
      <w:start w:val="1"/>
      <w:numFmt w:val="bullet"/>
      <w:lvlText w:val="o"/>
      <w:lvlJc w:val="left"/>
      <w:pPr>
        <w:ind w:left="1191" w:hanging="17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53" w15:restartNumberingAfterBreak="0">
    <w:nsid w:val="598A5E6A"/>
    <w:multiLevelType w:val="hybridMultilevel"/>
    <w:tmpl w:val="940C36F2"/>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4" w15:restartNumberingAfterBreak="0">
    <w:nsid w:val="5AFB11BA"/>
    <w:multiLevelType w:val="hybridMultilevel"/>
    <w:tmpl w:val="66BA7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B94791E"/>
    <w:multiLevelType w:val="hybridMultilevel"/>
    <w:tmpl w:val="67E2B33C"/>
    <w:lvl w:ilvl="0" w:tplc="14090001">
      <w:start w:val="1"/>
      <w:numFmt w:val="bullet"/>
      <w:lvlText w:val=""/>
      <w:lvlJc w:val="left"/>
      <w:pPr>
        <w:ind w:left="2178" w:hanging="360"/>
      </w:pPr>
      <w:rPr>
        <w:rFonts w:ascii="Symbol" w:hAnsi="Symbol" w:hint="default"/>
      </w:rPr>
    </w:lvl>
    <w:lvl w:ilvl="1" w:tplc="14090003" w:tentative="1">
      <w:start w:val="1"/>
      <w:numFmt w:val="bullet"/>
      <w:lvlText w:val="o"/>
      <w:lvlJc w:val="left"/>
      <w:pPr>
        <w:ind w:left="2898" w:hanging="360"/>
      </w:pPr>
      <w:rPr>
        <w:rFonts w:ascii="Courier New" w:hAnsi="Courier New" w:cs="Courier New" w:hint="default"/>
      </w:rPr>
    </w:lvl>
    <w:lvl w:ilvl="2" w:tplc="14090005" w:tentative="1">
      <w:start w:val="1"/>
      <w:numFmt w:val="bullet"/>
      <w:lvlText w:val=""/>
      <w:lvlJc w:val="left"/>
      <w:pPr>
        <w:ind w:left="3618" w:hanging="360"/>
      </w:pPr>
      <w:rPr>
        <w:rFonts w:ascii="Wingdings" w:hAnsi="Wingdings" w:hint="default"/>
      </w:rPr>
    </w:lvl>
    <w:lvl w:ilvl="3" w:tplc="14090001" w:tentative="1">
      <w:start w:val="1"/>
      <w:numFmt w:val="bullet"/>
      <w:lvlText w:val=""/>
      <w:lvlJc w:val="left"/>
      <w:pPr>
        <w:ind w:left="4338" w:hanging="360"/>
      </w:pPr>
      <w:rPr>
        <w:rFonts w:ascii="Symbol" w:hAnsi="Symbol" w:hint="default"/>
      </w:rPr>
    </w:lvl>
    <w:lvl w:ilvl="4" w:tplc="14090003" w:tentative="1">
      <w:start w:val="1"/>
      <w:numFmt w:val="bullet"/>
      <w:lvlText w:val="o"/>
      <w:lvlJc w:val="left"/>
      <w:pPr>
        <w:ind w:left="5058" w:hanging="360"/>
      </w:pPr>
      <w:rPr>
        <w:rFonts w:ascii="Courier New" w:hAnsi="Courier New" w:cs="Courier New" w:hint="default"/>
      </w:rPr>
    </w:lvl>
    <w:lvl w:ilvl="5" w:tplc="14090005" w:tentative="1">
      <w:start w:val="1"/>
      <w:numFmt w:val="bullet"/>
      <w:lvlText w:val=""/>
      <w:lvlJc w:val="left"/>
      <w:pPr>
        <w:ind w:left="5778" w:hanging="360"/>
      </w:pPr>
      <w:rPr>
        <w:rFonts w:ascii="Wingdings" w:hAnsi="Wingdings" w:hint="default"/>
      </w:rPr>
    </w:lvl>
    <w:lvl w:ilvl="6" w:tplc="14090001" w:tentative="1">
      <w:start w:val="1"/>
      <w:numFmt w:val="bullet"/>
      <w:lvlText w:val=""/>
      <w:lvlJc w:val="left"/>
      <w:pPr>
        <w:ind w:left="6498" w:hanging="360"/>
      </w:pPr>
      <w:rPr>
        <w:rFonts w:ascii="Symbol" w:hAnsi="Symbol" w:hint="default"/>
      </w:rPr>
    </w:lvl>
    <w:lvl w:ilvl="7" w:tplc="14090003" w:tentative="1">
      <w:start w:val="1"/>
      <w:numFmt w:val="bullet"/>
      <w:lvlText w:val="o"/>
      <w:lvlJc w:val="left"/>
      <w:pPr>
        <w:ind w:left="7218" w:hanging="360"/>
      </w:pPr>
      <w:rPr>
        <w:rFonts w:ascii="Courier New" w:hAnsi="Courier New" w:cs="Courier New" w:hint="default"/>
      </w:rPr>
    </w:lvl>
    <w:lvl w:ilvl="8" w:tplc="14090005" w:tentative="1">
      <w:start w:val="1"/>
      <w:numFmt w:val="bullet"/>
      <w:lvlText w:val=""/>
      <w:lvlJc w:val="left"/>
      <w:pPr>
        <w:ind w:left="7938" w:hanging="360"/>
      </w:pPr>
      <w:rPr>
        <w:rFonts w:ascii="Wingdings" w:hAnsi="Wingdings" w:hint="default"/>
      </w:rPr>
    </w:lvl>
  </w:abstractNum>
  <w:abstractNum w:abstractNumId="56" w15:restartNumberingAfterBreak="0">
    <w:nsid w:val="5F6C6D63"/>
    <w:multiLevelType w:val="hybridMultilevel"/>
    <w:tmpl w:val="62CEE76A"/>
    <w:lvl w:ilvl="0" w:tplc="14090001">
      <w:start w:val="1"/>
      <w:numFmt w:val="bullet"/>
      <w:lvlText w:val=""/>
      <w:lvlJc w:val="left"/>
      <w:pPr>
        <w:ind w:left="567" w:hanging="567"/>
      </w:pPr>
      <w:rPr>
        <w:rFonts w:ascii="Symbol" w:hAnsi="Symbol" w:hint="default"/>
        <w:b/>
        <w:color w:val="auto"/>
        <w:sz w:val="20"/>
      </w:rPr>
    </w:lvl>
    <w:lvl w:ilvl="1" w:tplc="8076D298">
      <w:start w:val="1"/>
      <w:numFmt w:val="bullet"/>
      <w:lvlText w:val="o"/>
      <w:lvlJc w:val="left"/>
      <w:pPr>
        <w:ind w:left="1191" w:hanging="17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57" w15:restartNumberingAfterBreak="0">
    <w:nsid w:val="61B82241"/>
    <w:multiLevelType w:val="hybridMultilevel"/>
    <w:tmpl w:val="AE6033BA"/>
    <w:lvl w:ilvl="0" w:tplc="E6DC0394">
      <w:start w:val="26"/>
      <w:numFmt w:val="decimal"/>
      <w:lvlText w:val="%1."/>
      <w:lvlJc w:val="left"/>
      <w:pPr>
        <w:ind w:left="720" w:hanging="360"/>
      </w:pPr>
      <w:rPr>
        <w:rFonts w:hint="default"/>
        <w:b/>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65640C94"/>
    <w:multiLevelType w:val="hybridMultilevel"/>
    <w:tmpl w:val="747AF87A"/>
    <w:lvl w:ilvl="0" w:tplc="14090001">
      <w:start w:val="1"/>
      <w:numFmt w:val="bullet"/>
      <w:lvlText w:val=""/>
      <w:lvlJc w:val="left"/>
      <w:pPr>
        <w:ind w:left="720" w:hanging="360"/>
      </w:pPr>
      <w:rPr>
        <w:rFonts w:ascii="Symbol" w:hAnsi="Symbol" w:hint="default"/>
        <w:b/>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6A19149F"/>
    <w:multiLevelType w:val="hybridMultilevel"/>
    <w:tmpl w:val="96548F94"/>
    <w:lvl w:ilvl="0" w:tplc="14090001">
      <w:start w:val="1"/>
      <w:numFmt w:val="bullet"/>
      <w:lvlText w:val=""/>
      <w:lvlJc w:val="left"/>
      <w:pPr>
        <w:ind w:left="927" w:hanging="567"/>
      </w:pPr>
      <w:rPr>
        <w:rFonts w:ascii="Symbol" w:hAnsi="Symbol" w:hint="default"/>
        <w:b/>
        <w:color w:val="auto"/>
        <w:sz w:val="22"/>
        <w:szCs w:val="22"/>
      </w:rPr>
    </w:lvl>
    <w:lvl w:ilvl="1" w:tplc="8076D298">
      <w:start w:val="1"/>
      <w:numFmt w:val="bullet"/>
      <w:lvlText w:val="o"/>
      <w:lvlJc w:val="left"/>
      <w:pPr>
        <w:ind w:left="1551" w:hanging="170"/>
      </w:pPr>
      <w:rPr>
        <w:rFonts w:ascii="Courier New" w:hAnsi="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hint="default"/>
      </w:rPr>
    </w:lvl>
    <w:lvl w:ilvl="8" w:tplc="14090005">
      <w:start w:val="1"/>
      <w:numFmt w:val="bullet"/>
      <w:lvlText w:val=""/>
      <w:lvlJc w:val="left"/>
      <w:pPr>
        <w:ind w:left="6840" w:hanging="360"/>
      </w:pPr>
      <w:rPr>
        <w:rFonts w:ascii="Wingdings" w:hAnsi="Wingdings" w:hint="default"/>
      </w:rPr>
    </w:lvl>
  </w:abstractNum>
  <w:abstractNum w:abstractNumId="60" w15:restartNumberingAfterBreak="0">
    <w:nsid w:val="6C9276C5"/>
    <w:multiLevelType w:val="hybridMultilevel"/>
    <w:tmpl w:val="12BE7196"/>
    <w:lvl w:ilvl="0" w:tplc="070CA5CC">
      <w:start w:val="19"/>
      <w:numFmt w:val="decimal"/>
      <w:lvlText w:val="%1."/>
      <w:lvlJc w:val="left"/>
      <w:pPr>
        <w:ind w:left="900" w:hanging="360"/>
      </w:pPr>
      <w:rPr>
        <w:rFonts w:hint="default"/>
        <w:i w:val="0"/>
        <w:color w:val="000000" w:themeColor="text1"/>
        <w:sz w:val="22"/>
      </w:rPr>
    </w:lvl>
    <w:lvl w:ilvl="1" w:tplc="14090019" w:tentative="1">
      <w:start w:val="1"/>
      <w:numFmt w:val="lowerLetter"/>
      <w:lvlText w:val="%2."/>
      <w:lvlJc w:val="left"/>
      <w:pPr>
        <w:ind w:left="1620" w:hanging="360"/>
      </w:pPr>
    </w:lvl>
    <w:lvl w:ilvl="2" w:tplc="1409001B" w:tentative="1">
      <w:start w:val="1"/>
      <w:numFmt w:val="lowerRoman"/>
      <w:lvlText w:val="%3."/>
      <w:lvlJc w:val="right"/>
      <w:pPr>
        <w:ind w:left="2340" w:hanging="180"/>
      </w:pPr>
    </w:lvl>
    <w:lvl w:ilvl="3" w:tplc="1409000F" w:tentative="1">
      <w:start w:val="1"/>
      <w:numFmt w:val="decimal"/>
      <w:lvlText w:val="%4."/>
      <w:lvlJc w:val="left"/>
      <w:pPr>
        <w:ind w:left="3060" w:hanging="360"/>
      </w:pPr>
    </w:lvl>
    <w:lvl w:ilvl="4" w:tplc="14090019" w:tentative="1">
      <w:start w:val="1"/>
      <w:numFmt w:val="lowerLetter"/>
      <w:lvlText w:val="%5."/>
      <w:lvlJc w:val="left"/>
      <w:pPr>
        <w:ind w:left="3780" w:hanging="360"/>
      </w:pPr>
    </w:lvl>
    <w:lvl w:ilvl="5" w:tplc="1409001B" w:tentative="1">
      <w:start w:val="1"/>
      <w:numFmt w:val="lowerRoman"/>
      <w:lvlText w:val="%6."/>
      <w:lvlJc w:val="right"/>
      <w:pPr>
        <w:ind w:left="4500" w:hanging="180"/>
      </w:pPr>
    </w:lvl>
    <w:lvl w:ilvl="6" w:tplc="1409000F" w:tentative="1">
      <w:start w:val="1"/>
      <w:numFmt w:val="decimal"/>
      <w:lvlText w:val="%7."/>
      <w:lvlJc w:val="left"/>
      <w:pPr>
        <w:ind w:left="5220" w:hanging="360"/>
      </w:pPr>
    </w:lvl>
    <w:lvl w:ilvl="7" w:tplc="14090019" w:tentative="1">
      <w:start w:val="1"/>
      <w:numFmt w:val="lowerLetter"/>
      <w:lvlText w:val="%8."/>
      <w:lvlJc w:val="left"/>
      <w:pPr>
        <w:ind w:left="5940" w:hanging="360"/>
      </w:pPr>
    </w:lvl>
    <w:lvl w:ilvl="8" w:tplc="1409001B" w:tentative="1">
      <w:start w:val="1"/>
      <w:numFmt w:val="lowerRoman"/>
      <w:lvlText w:val="%9."/>
      <w:lvlJc w:val="right"/>
      <w:pPr>
        <w:ind w:left="6660" w:hanging="180"/>
      </w:pPr>
    </w:lvl>
  </w:abstractNum>
  <w:abstractNum w:abstractNumId="61" w15:restartNumberingAfterBreak="0">
    <w:nsid w:val="6FAA0C49"/>
    <w:multiLevelType w:val="hybridMultilevel"/>
    <w:tmpl w:val="F0EC11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3B53AC4"/>
    <w:multiLevelType w:val="hybridMultilevel"/>
    <w:tmpl w:val="628C332E"/>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63" w15:restartNumberingAfterBreak="0">
    <w:nsid w:val="75A32F5B"/>
    <w:multiLevelType w:val="hybridMultilevel"/>
    <w:tmpl w:val="D464A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E4F5E8F"/>
    <w:multiLevelType w:val="hybridMultilevel"/>
    <w:tmpl w:val="AF909816"/>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65" w15:restartNumberingAfterBreak="0">
    <w:nsid w:val="7ECB0CD2"/>
    <w:multiLevelType w:val="hybridMultilevel"/>
    <w:tmpl w:val="FF807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7F4F5B86"/>
    <w:multiLevelType w:val="hybridMultilevel"/>
    <w:tmpl w:val="BB16D27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num w:numId="1">
    <w:abstractNumId w:val="20"/>
  </w:num>
  <w:num w:numId="2">
    <w:abstractNumId w:val="56"/>
  </w:num>
  <w:num w:numId="3">
    <w:abstractNumId w:val="54"/>
  </w:num>
  <w:num w:numId="4">
    <w:abstractNumId w:val="48"/>
  </w:num>
  <w:num w:numId="5">
    <w:abstractNumId w:val="3"/>
  </w:num>
  <w:num w:numId="6">
    <w:abstractNumId w:val="44"/>
  </w:num>
  <w:num w:numId="7">
    <w:abstractNumId w:val="33"/>
  </w:num>
  <w:num w:numId="8">
    <w:abstractNumId w:val="41"/>
  </w:num>
  <w:num w:numId="9">
    <w:abstractNumId w:val="0"/>
  </w:num>
  <w:num w:numId="10">
    <w:abstractNumId w:val="55"/>
  </w:num>
  <w:num w:numId="11">
    <w:abstractNumId w:val="24"/>
  </w:num>
  <w:num w:numId="12">
    <w:abstractNumId w:val="5"/>
  </w:num>
  <w:num w:numId="13">
    <w:abstractNumId w:val="66"/>
  </w:num>
  <w:num w:numId="14">
    <w:abstractNumId w:val="9"/>
  </w:num>
  <w:num w:numId="15">
    <w:abstractNumId w:val="22"/>
  </w:num>
  <w:num w:numId="16">
    <w:abstractNumId w:val="15"/>
  </w:num>
  <w:num w:numId="17">
    <w:abstractNumId w:val="11"/>
  </w:num>
  <w:num w:numId="18">
    <w:abstractNumId w:val="12"/>
  </w:num>
  <w:num w:numId="19">
    <w:abstractNumId w:val="23"/>
  </w:num>
  <w:num w:numId="20">
    <w:abstractNumId w:val="18"/>
  </w:num>
  <w:num w:numId="21">
    <w:abstractNumId w:val="19"/>
  </w:num>
  <w:num w:numId="22">
    <w:abstractNumId w:val="51"/>
  </w:num>
  <w:num w:numId="23">
    <w:abstractNumId w:val="4"/>
  </w:num>
  <w:num w:numId="24">
    <w:abstractNumId w:val="46"/>
  </w:num>
  <w:num w:numId="25">
    <w:abstractNumId w:val="37"/>
  </w:num>
  <w:num w:numId="26">
    <w:abstractNumId w:val="53"/>
  </w:num>
  <w:num w:numId="27">
    <w:abstractNumId w:val="43"/>
  </w:num>
  <w:num w:numId="28">
    <w:abstractNumId w:val="62"/>
  </w:num>
  <w:num w:numId="29">
    <w:abstractNumId w:val="42"/>
  </w:num>
  <w:num w:numId="30">
    <w:abstractNumId w:val="14"/>
  </w:num>
  <w:num w:numId="31">
    <w:abstractNumId w:val="45"/>
  </w:num>
  <w:num w:numId="32">
    <w:abstractNumId w:val="64"/>
  </w:num>
  <w:num w:numId="33">
    <w:abstractNumId w:val="36"/>
  </w:num>
  <w:num w:numId="34">
    <w:abstractNumId w:val="59"/>
  </w:num>
  <w:num w:numId="35">
    <w:abstractNumId w:val="38"/>
  </w:num>
  <w:num w:numId="36">
    <w:abstractNumId w:val="60"/>
  </w:num>
  <w:num w:numId="37">
    <w:abstractNumId w:val="35"/>
  </w:num>
  <w:num w:numId="38">
    <w:abstractNumId w:val="21"/>
  </w:num>
  <w:num w:numId="39">
    <w:abstractNumId w:val="31"/>
  </w:num>
  <w:num w:numId="40">
    <w:abstractNumId w:val="2"/>
  </w:num>
  <w:num w:numId="41">
    <w:abstractNumId w:val="29"/>
  </w:num>
  <w:num w:numId="42">
    <w:abstractNumId w:val="40"/>
  </w:num>
  <w:num w:numId="43">
    <w:abstractNumId w:val="13"/>
  </w:num>
  <w:num w:numId="44">
    <w:abstractNumId w:val="39"/>
  </w:num>
  <w:num w:numId="45">
    <w:abstractNumId w:val="27"/>
  </w:num>
  <w:num w:numId="46">
    <w:abstractNumId w:val="1"/>
  </w:num>
  <w:num w:numId="47">
    <w:abstractNumId w:val="26"/>
  </w:num>
  <w:num w:numId="48">
    <w:abstractNumId w:val="34"/>
  </w:num>
  <w:num w:numId="49">
    <w:abstractNumId w:val="65"/>
  </w:num>
  <w:num w:numId="50">
    <w:abstractNumId w:val="61"/>
  </w:num>
  <w:num w:numId="51">
    <w:abstractNumId w:val="63"/>
  </w:num>
  <w:num w:numId="52">
    <w:abstractNumId w:val="49"/>
  </w:num>
  <w:num w:numId="53">
    <w:abstractNumId w:val="47"/>
  </w:num>
  <w:num w:numId="54">
    <w:abstractNumId w:val="10"/>
  </w:num>
  <w:num w:numId="55">
    <w:abstractNumId w:val="57"/>
  </w:num>
  <w:num w:numId="56">
    <w:abstractNumId w:val="8"/>
  </w:num>
  <w:num w:numId="57">
    <w:abstractNumId w:val="58"/>
  </w:num>
  <w:num w:numId="58">
    <w:abstractNumId w:val="7"/>
  </w:num>
  <w:num w:numId="59">
    <w:abstractNumId w:val="25"/>
  </w:num>
  <w:num w:numId="60">
    <w:abstractNumId w:val="50"/>
  </w:num>
  <w:num w:numId="61">
    <w:abstractNumId w:val="16"/>
  </w:num>
  <w:num w:numId="62">
    <w:abstractNumId w:val="52"/>
  </w:num>
  <w:num w:numId="63">
    <w:abstractNumId w:val="32"/>
  </w:num>
  <w:num w:numId="64">
    <w:abstractNumId w:val="6"/>
  </w:num>
  <w:num w:numId="65">
    <w:abstractNumId w:val="30"/>
  </w:num>
  <w:num w:numId="66">
    <w:abstractNumId w:val="28"/>
  </w:num>
  <w:num w:numId="67">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1ED2"/>
    <w:rsid w:val="0000071A"/>
    <w:rsid w:val="00001529"/>
    <w:rsid w:val="000023CA"/>
    <w:rsid w:val="00003DFF"/>
    <w:rsid w:val="000057CF"/>
    <w:rsid w:val="00005827"/>
    <w:rsid w:val="0000656C"/>
    <w:rsid w:val="00006985"/>
    <w:rsid w:val="000077F0"/>
    <w:rsid w:val="0001014E"/>
    <w:rsid w:val="000101C4"/>
    <w:rsid w:val="00010BFE"/>
    <w:rsid w:val="00010DA4"/>
    <w:rsid w:val="000117A6"/>
    <w:rsid w:val="00012091"/>
    <w:rsid w:val="00012605"/>
    <w:rsid w:val="00012969"/>
    <w:rsid w:val="00012BB4"/>
    <w:rsid w:val="00012D20"/>
    <w:rsid w:val="00012D49"/>
    <w:rsid w:val="00013B0D"/>
    <w:rsid w:val="00013CB0"/>
    <w:rsid w:val="00013DA6"/>
    <w:rsid w:val="000144FB"/>
    <w:rsid w:val="0001495D"/>
    <w:rsid w:val="0001500F"/>
    <w:rsid w:val="00015B52"/>
    <w:rsid w:val="00015F0D"/>
    <w:rsid w:val="000174D7"/>
    <w:rsid w:val="00020794"/>
    <w:rsid w:val="00021919"/>
    <w:rsid w:val="00023365"/>
    <w:rsid w:val="00023633"/>
    <w:rsid w:val="00024488"/>
    <w:rsid w:val="00024A1A"/>
    <w:rsid w:val="00024F2A"/>
    <w:rsid w:val="00025544"/>
    <w:rsid w:val="0003247B"/>
    <w:rsid w:val="000325B6"/>
    <w:rsid w:val="00033D12"/>
    <w:rsid w:val="000347A2"/>
    <w:rsid w:val="00036764"/>
    <w:rsid w:val="00037CC6"/>
    <w:rsid w:val="00040268"/>
    <w:rsid w:val="000403AF"/>
    <w:rsid w:val="00040B87"/>
    <w:rsid w:val="00040E8A"/>
    <w:rsid w:val="00041BFF"/>
    <w:rsid w:val="00042B18"/>
    <w:rsid w:val="000433AE"/>
    <w:rsid w:val="00045055"/>
    <w:rsid w:val="00045302"/>
    <w:rsid w:val="000459F6"/>
    <w:rsid w:val="00046D14"/>
    <w:rsid w:val="000477CC"/>
    <w:rsid w:val="0005179C"/>
    <w:rsid w:val="00051EA8"/>
    <w:rsid w:val="0005234B"/>
    <w:rsid w:val="00052590"/>
    <w:rsid w:val="000525C7"/>
    <w:rsid w:val="00052FC9"/>
    <w:rsid w:val="00053299"/>
    <w:rsid w:val="0005344F"/>
    <w:rsid w:val="0005462F"/>
    <w:rsid w:val="000557DA"/>
    <w:rsid w:val="00057FF0"/>
    <w:rsid w:val="000601A0"/>
    <w:rsid w:val="000603D9"/>
    <w:rsid w:val="0006143F"/>
    <w:rsid w:val="000614CA"/>
    <w:rsid w:val="000658A7"/>
    <w:rsid w:val="00070118"/>
    <w:rsid w:val="000706E5"/>
    <w:rsid w:val="00070D08"/>
    <w:rsid w:val="000719DB"/>
    <w:rsid w:val="00073087"/>
    <w:rsid w:val="000741B3"/>
    <w:rsid w:val="00074349"/>
    <w:rsid w:val="00074EB6"/>
    <w:rsid w:val="00075675"/>
    <w:rsid w:val="00075750"/>
    <w:rsid w:val="00076B2C"/>
    <w:rsid w:val="00076F86"/>
    <w:rsid w:val="0007764A"/>
    <w:rsid w:val="000817F6"/>
    <w:rsid w:val="00082117"/>
    <w:rsid w:val="0008219F"/>
    <w:rsid w:val="00085A89"/>
    <w:rsid w:val="00085CE3"/>
    <w:rsid w:val="000864FD"/>
    <w:rsid w:val="00086716"/>
    <w:rsid w:val="00086B32"/>
    <w:rsid w:val="000870DC"/>
    <w:rsid w:val="0009108C"/>
    <w:rsid w:val="0009137D"/>
    <w:rsid w:val="00091416"/>
    <w:rsid w:val="000917E1"/>
    <w:rsid w:val="00094C7C"/>
    <w:rsid w:val="00094E74"/>
    <w:rsid w:val="000962C9"/>
    <w:rsid w:val="0009795B"/>
    <w:rsid w:val="000A1090"/>
    <w:rsid w:val="000A1AB9"/>
    <w:rsid w:val="000A1F70"/>
    <w:rsid w:val="000A232B"/>
    <w:rsid w:val="000A35FA"/>
    <w:rsid w:val="000A3665"/>
    <w:rsid w:val="000A41F1"/>
    <w:rsid w:val="000B02CF"/>
    <w:rsid w:val="000B1785"/>
    <w:rsid w:val="000B18D5"/>
    <w:rsid w:val="000B1DAA"/>
    <w:rsid w:val="000B23F4"/>
    <w:rsid w:val="000B2A76"/>
    <w:rsid w:val="000B2E2F"/>
    <w:rsid w:val="000B376A"/>
    <w:rsid w:val="000B40A4"/>
    <w:rsid w:val="000B5246"/>
    <w:rsid w:val="000B5569"/>
    <w:rsid w:val="000B6113"/>
    <w:rsid w:val="000B63F8"/>
    <w:rsid w:val="000B660D"/>
    <w:rsid w:val="000B6D19"/>
    <w:rsid w:val="000C1245"/>
    <w:rsid w:val="000C179E"/>
    <w:rsid w:val="000C2397"/>
    <w:rsid w:val="000C2437"/>
    <w:rsid w:val="000C2AEC"/>
    <w:rsid w:val="000C2EDC"/>
    <w:rsid w:val="000C33CC"/>
    <w:rsid w:val="000C4A80"/>
    <w:rsid w:val="000C542F"/>
    <w:rsid w:val="000C5987"/>
    <w:rsid w:val="000D0610"/>
    <w:rsid w:val="000D0D92"/>
    <w:rsid w:val="000D1D9C"/>
    <w:rsid w:val="000D2F69"/>
    <w:rsid w:val="000D74AE"/>
    <w:rsid w:val="000D75E7"/>
    <w:rsid w:val="000D7EF2"/>
    <w:rsid w:val="000E02C7"/>
    <w:rsid w:val="000E14C4"/>
    <w:rsid w:val="000E1661"/>
    <w:rsid w:val="000E2530"/>
    <w:rsid w:val="000E47F5"/>
    <w:rsid w:val="000E4E22"/>
    <w:rsid w:val="000E4F31"/>
    <w:rsid w:val="000E4F48"/>
    <w:rsid w:val="000E56D3"/>
    <w:rsid w:val="000E57E3"/>
    <w:rsid w:val="000E67CC"/>
    <w:rsid w:val="000E73DF"/>
    <w:rsid w:val="000E7B35"/>
    <w:rsid w:val="000F13FB"/>
    <w:rsid w:val="000F25D2"/>
    <w:rsid w:val="000F269B"/>
    <w:rsid w:val="000F2C6B"/>
    <w:rsid w:val="000F35B1"/>
    <w:rsid w:val="000F3654"/>
    <w:rsid w:val="000F3A3A"/>
    <w:rsid w:val="000F4759"/>
    <w:rsid w:val="000F51FC"/>
    <w:rsid w:val="000F648B"/>
    <w:rsid w:val="000F64BB"/>
    <w:rsid w:val="000F73C6"/>
    <w:rsid w:val="000F748D"/>
    <w:rsid w:val="000F7972"/>
    <w:rsid w:val="00100CB5"/>
    <w:rsid w:val="00102192"/>
    <w:rsid w:val="001025FC"/>
    <w:rsid w:val="001026E7"/>
    <w:rsid w:val="00102C70"/>
    <w:rsid w:val="00102E68"/>
    <w:rsid w:val="00103086"/>
    <w:rsid w:val="00105568"/>
    <w:rsid w:val="00105806"/>
    <w:rsid w:val="00105F0F"/>
    <w:rsid w:val="00106B73"/>
    <w:rsid w:val="001076EA"/>
    <w:rsid w:val="00107B21"/>
    <w:rsid w:val="00107E59"/>
    <w:rsid w:val="001101C2"/>
    <w:rsid w:val="00110BB6"/>
    <w:rsid w:val="00110D66"/>
    <w:rsid w:val="00111A33"/>
    <w:rsid w:val="00112618"/>
    <w:rsid w:val="00113C1F"/>
    <w:rsid w:val="0011557F"/>
    <w:rsid w:val="00116473"/>
    <w:rsid w:val="0011691A"/>
    <w:rsid w:val="00120C19"/>
    <w:rsid w:val="00120EDD"/>
    <w:rsid w:val="0012101C"/>
    <w:rsid w:val="00121B74"/>
    <w:rsid w:val="00121F90"/>
    <w:rsid w:val="00124193"/>
    <w:rsid w:val="00125E5B"/>
    <w:rsid w:val="0012710E"/>
    <w:rsid w:val="00127A16"/>
    <w:rsid w:val="00127C9A"/>
    <w:rsid w:val="00130EFC"/>
    <w:rsid w:val="0013119A"/>
    <w:rsid w:val="001315CD"/>
    <w:rsid w:val="00131D38"/>
    <w:rsid w:val="001320BB"/>
    <w:rsid w:val="001326AE"/>
    <w:rsid w:val="00132F05"/>
    <w:rsid w:val="00133F02"/>
    <w:rsid w:val="00133FBB"/>
    <w:rsid w:val="0013548B"/>
    <w:rsid w:val="001357E3"/>
    <w:rsid w:val="0013607B"/>
    <w:rsid w:val="001366F6"/>
    <w:rsid w:val="00136CD2"/>
    <w:rsid w:val="001373A1"/>
    <w:rsid w:val="001408BD"/>
    <w:rsid w:val="00141016"/>
    <w:rsid w:val="001419B4"/>
    <w:rsid w:val="001427D8"/>
    <w:rsid w:val="00143153"/>
    <w:rsid w:val="00143641"/>
    <w:rsid w:val="00145050"/>
    <w:rsid w:val="001452C4"/>
    <w:rsid w:val="001459AE"/>
    <w:rsid w:val="00145DEB"/>
    <w:rsid w:val="0014660D"/>
    <w:rsid w:val="00146677"/>
    <w:rsid w:val="001468A3"/>
    <w:rsid w:val="00147414"/>
    <w:rsid w:val="0014783F"/>
    <w:rsid w:val="00150879"/>
    <w:rsid w:val="0015174B"/>
    <w:rsid w:val="00151F5F"/>
    <w:rsid w:val="0015299F"/>
    <w:rsid w:val="00152F57"/>
    <w:rsid w:val="00154E05"/>
    <w:rsid w:val="0015728F"/>
    <w:rsid w:val="00162343"/>
    <w:rsid w:val="0016388A"/>
    <w:rsid w:val="00163C2E"/>
    <w:rsid w:val="00164AE2"/>
    <w:rsid w:val="00164C44"/>
    <w:rsid w:val="001655DB"/>
    <w:rsid w:val="0016587D"/>
    <w:rsid w:val="00166C58"/>
    <w:rsid w:val="00167A60"/>
    <w:rsid w:val="00167F86"/>
    <w:rsid w:val="00167F91"/>
    <w:rsid w:val="001704E2"/>
    <w:rsid w:val="00170C32"/>
    <w:rsid w:val="00170E74"/>
    <w:rsid w:val="001763EA"/>
    <w:rsid w:val="00177D1C"/>
    <w:rsid w:val="00180F75"/>
    <w:rsid w:val="00182947"/>
    <w:rsid w:val="00182F42"/>
    <w:rsid w:val="001836E0"/>
    <w:rsid w:val="00183755"/>
    <w:rsid w:val="00183CCD"/>
    <w:rsid w:val="00184361"/>
    <w:rsid w:val="00185862"/>
    <w:rsid w:val="00190894"/>
    <w:rsid w:val="0019255F"/>
    <w:rsid w:val="00192D1B"/>
    <w:rsid w:val="00193BA4"/>
    <w:rsid w:val="00194688"/>
    <w:rsid w:val="00196A6E"/>
    <w:rsid w:val="0019752F"/>
    <w:rsid w:val="001A0725"/>
    <w:rsid w:val="001A08B2"/>
    <w:rsid w:val="001A420D"/>
    <w:rsid w:val="001A4724"/>
    <w:rsid w:val="001A4E68"/>
    <w:rsid w:val="001B0D36"/>
    <w:rsid w:val="001B16A8"/>
    <w:rsid w:val="001B1C21"/>
    <w:rsid w:val="001B2273"/>
    <w:rsid w:val="001B2A31"/>
    <w:rsid w:val="001B3690"/>
    <w:rsid w:val="001B5A34"/>
    <w:rsid w:val="001B5FD2"/>
    <w:rsid w:val="001C023C"/>
    <w:rsid w:val="001C079B"/>
    <w:rsid w:val="001C1229"/>
    <w:rsid w:val="001C1CFD"/>
    <w:rsid w:val="001C1E0B"/>
    <w:rsid w:val="001C2233"/>
    <w:rsid w:val="001C273B"/>
    <w:rsid w:val="001C5528"/>
    <w:rsid w:val="001C66F0"/>
    <w:rsid w:val="001C7459"/>
    <w:rsid w:val="001D0053"/>
    <w:rsid w:val="001D06E3"/>
    <w:rsid w:val="001D0C1E"/>
    <w:rsid w:val="001D201C"/>
    <w:rsid w:val="001D20A8"/>
    <w:rsid w:val="001D4799"/>
    <w:rsid w:val="001D6335"/>
    <w:rsid w:val="001D7428"/>
    <w:rsid w:val="001D7795"/>
    <w:rsid w:val="001D77BB"/>
    <w:rsid w:val="001E2499"/>
    <w:rsid w:val="001E288A"/>
    <w:rsid w:val="001E2B96"/>
    <w:rsid w:val="001E33D9"/>
    <w:rsid w:val="001E3926"/>
    <w:rsid w:val="001E6387"/>
    <w:rsid w:val="001E656B"/>
    <w:rsid w:val="001E65EE"/>
    <w:rsid w:val="001E688B"/>
    <w:rsid w:val="001E7BC8"/>
    <w:rsid w:val="001E7C0C"/>
    <w:rsid w:val="001F0313"/>
    <w:rsid w:val="001F098C"/>
    <w:rsid w:val="001F2E78"/>
    <w:rsid w:val="001F3277"/>
    <w:rsid w:val="001F4764"/>
    <w:rsid w:val="001F4FA6"/>
    <w:rsid w:val="001F520F"/>
    <w:rsid w:val="001F5390"/>
    <w:rsid w:val="001F5B8E"/>
    <w:rsid w:val="001F5C0E"/>
    <w:rsid w:val="001F625D"/>
    <w:rsid w:val="001F6296"/>
    <w:rsid w:val="001F641D"/>
    <w:rsid w:val="001F74D9"/>
    <w:rsid w:val="00200434"/>
    <w:rsid w:val="00200463"/>
    <w:rsid w:val="00201F65"/>
    <w:rsid w:val="002020EB"/>
    <w:rsid w:val="00202131"/>
    <w:rsid w:val="002024B2"/>
    <w:rsid w:val="0020300C"/>
    <w:rsid w:val="00204990"/>
    <w:rsid w:val="00204BD6"/>
    <w:rsid w:val="00204E97"/>
    <w:rsid w:val="00205DA7"/>
    <w:rsid w:val="00210056"/>
    <w:rsid w:val="0021039A"/>
    <w:rsid w:val="002107B4"/>
    <w:rsid w:val="00210EAD"/>
    <w:rsid w:val="0021488D"/>
    <w:rsid w:val="002150B4"/>
    <w:rsid w:val="00216218"/>
    <w:rsid w:val="002164A9"/>
    <w:rsid w:val="002165AF"/>
    <w:rsid w:val="00217476"/>
    <w:rsid w:val="00220AC3"/>
    <w:rsid w:val="00221855"/>
    <w:rsid w:val="00221F04"/>
    <w:rsid w:val="00222BAB"/>
    <w:rsid w:val="002244DC"/>
    <w:rsid w:val="00225AC1"/>
    <w:rsid w:val="00226100"/>
    <w:rsid w:val="00226E20"/>
    <w:rsid w:val="00227D27"/>
    <w:rsid w:val="00227E15"/>
    <w:rsid w:val="002302D7"/>
    <w:rsid w:val="00230465"/>
    <w:rsid w:val="0023079F"/>
    <w:rsid w:val="00231205"/>
    <w:rsid w:val="0023122A"/>
    <w:rsid w:val="002331DF"/>
    <w:rsid w:val="002337AD"/>
    <w:rsid w:val="00234162"/>
    <w:rsid w:val="0023553E"/>
    <w:rsid w:val="00235DD7"/>
    <w:rsid w:val="00235FAD"/>
    <w:rsid w:val="00236D62"/>
    <w:rsid w:val="00236D9A"/>
    <w:rsid w:val="00237AD2"/>
    <w:rsid w:val="002401DA"/>
    <w:rsid w:val="00240284"/>
    <w:rsid w:val="00240425"/>
    <w:rsid w:val="002404D9"/>
    <w:rsid w:val="00240C1E"/>
    <w:rsid w:val="0024129E"/>
    <w:rsid w:val="0024257B"/>
    <w:rsid w:val="00243288"/>
    <w:rsid w:val="0024355D"/>
    <w:rsid w:val="002436BA"/>
    <w:rsid w:val="0024410E"/>
    <w:rsid w:val="0024487C"/>
    <w:rsid w:val="00244EEF"/>
    <w:rsid w:val="00245B12"/>
    <w:rsid w:val="00246270"/>
    <w:rsid w:val="00246509"/>
    <w:rsid w:val="00246CA2"/>
    <w:rsid w:val="00246D97"/>
    <w:rsid w:val="00247B3F"/>
    <w:rsid w:val="0025049F"/>
    <w:rsid w:val="00250D05"/>
    <w:rsid w:val="002513BE"/>
    <w:rsid w:val="002518CF"/>
    <w:rsid w:val="00252589"/>
    <w:rsid w:val="002525DB"/>
    <w:rsid w:val="0025299E"/>
    <w:rsid w:val="00253F64"/>
    <w:rsid w:val="00255D00"/>
    <w:rsid w:val="00260214"/>
    <w:rsid w:val="00261103"/>
    <w:rsid w:val="0026131E"/>
    <w:rsid w:val="00261827"/>
    <w:rsid w:val="002627B7"/>
    <w:rsid w:val="0026333B"/>
    <w:rsid w:val="00263687"/>
    <w:rsid w:val="002649BF"/>
    <w:rsid w:val="00264D4F"/>
    <w:rsid w:val="00265109"/>
    <w:rsid w:val="0026554E"/>
    <w:rsid w:val="0026560C"/>
    <w:rsid w:val="002658F1"/>
    <w:rsid w:val="00270340"/>
    <w:rsid w:val="00270CC5"/>
    <w:rsid w:val="00270F44"/>
    <w:rsid w:val="00271046"/>
    <w:rsid w:val="00271894"/>
    <w:rsid w:val="00273087"/>
    <w:rsid w:val="00273D61"/>
    <w:rsid w:val="002741AC"/>
    <w:rsid w:val="00274F11"/>
    <w:rsid w:val="00274FA1"/>
    <w:rsid w:val="002756FC"/>
    <w:rsid w:val="00275E82"/>
    <w:rsid w:val="00276C43"/>
    <w:rsid w:val="002801BC"/>
    <w:rsid w:val="00280DC6"/>
    <w:rsid w:val="002812B8"/>
    <w:rsid w:val="0028163A"/>
    <w:rsid w:val="00281AAF"/>
    <w:rsid w:val="00281CEC"/>
    <w:rsid w:val="002823D4"/>
    <w:rsid w:val="00282E85"/>
    <w:rsid w:val="00283920"/>
    <w:rsid w:val="0028500A"/>
    <w:rsid w:val="00285126"/>
    <w:rsid w:val="00286EFE"/>
    <w:rsid w:val="002871AB"/>
    <w:rsid w:val="0029007A"/>
    <w:rsid w:val="002918E4"/>
    <w:rsid w:val="00291917"/>
    <w:rsid w:val="00292F5C"/>
    <w:rsid w:val="00293415"/>
    <w:rsid w:val="00293B6B"/>
    <w:rsid w:val="002942AB"/>
    <w:rsid w:val="002946E6"/>
    <w:rsid w:val="002951F9"/>
    <w:rsid w:val="002956ED"/>
    <w:rsid w:val="00295C5C"/>
    <w:rsid w:val="00296529"/>
    <w:rsid w:val="002965AD"/>
    <w:rsid w:val="002A024E"/>
    <w:rsid w:val="002A08A1"/>
    <w:rsid w:val="002A15E7"/>
    <w:rsid w:val="002A1A9C"/>
    <w:rsid w:val="002A1DD3"/>
    <w:rsid w:val="002A380A"/>
    <w:rsid w:val="002A40C9"/>
    <w:rsid w:val="002A45C3"/>
    <w:rsid w:val="002A486D"/>
    <w:rsid w:val="002A583E"/>
    <w:rsid w:val="002A6369"/>
    <w:rsid w:val="002A6FC7"/>
    <w:rsid w:val="002B01F0"/>
    <w:rsid w:val="002B0523"/>
    <w:rsid w:val="002B09D2"/>
    <w:rsid w:val="002B2219"/>
    <w:rsid w:val="002B25BF"/>
    <w:rsid w:val="002B2A1E"/>
    <w:rsid w:val="002B32A4"/>
    <w:rsid w:val="002B3E76"/>
    <w:rsid w:val="002B3E91"/>
    <w:rsid w:val="002B4686"/>
    <w:rsid w:val="002B51DE"/>
    <w:rsid w:val="002B57A1"/>
    <w:rsid w:val="002B6442"/>
    <w:rsid w:val="002B7168"/>
    <w:rsid w:val="002C019F"/>
    <w:rsid w:val="002C4686"/>
    <w:rsid w:val="002C76EA"/>
    <w:rsid w:val="002D29A0"/>
    <w:rsid w:val="002D2A91"/>
    <w:rsid w:val="002D2F30"/>
    <w:rsid w:val="002D357D"/>
    <w:rsid w:val="002D39E3"/>
    <w:rsid w:val="002D5683"/>
    <w:rsid w:val="002D5E9A"/>
    <w:rsid w:val="002D61F8"/>
    <w:rsid w:val="002D6827"/>
    <w:rsid w:val="002E0248"/>
    <w:rsid w:val="002E09B2"/>
    <w:rsid w:val="002E2043"/>
    <w:rsid w:val="002E206E"/>
    <w:rsid w:val="002E24B4"/>
    <w:rsid w:val="002E2D7C"/>
    <w:rsid w:val="002E503F"/>
    <w:rsid w:val="002E5520"/>
    <w:rsid w:val="002F062A"/>
    <w:rsid w:val="002F1E46"/>
    <w:rsid w:val="002F24A5"/>
    <w:rsid w:val="002F4257"/>
    <w:rsid w:val="002F5820"/>
    <w:rsid w:val="002F7329"/>
    <w:rsid w:val="002F7AFA"/>
    <w:rsid w:val="002F7D98"/>
    <w:rsid w:val="00300BD5"/>
    <w:rsid w:val="003015C3"/>
    <w:rsid w:val="00302541"/>
    <w:rsid w:val="0030327A"/>
    <w:rsid w:val="003033A2"/>
    <w:rsid w:val="003034CB"/>
    <w:rsid w:val="00303787"/>
    <w:rsid w:val="003037E2"/>
    <w:rsid w:val="00304D9A"/>
    <w:rsid w:val="003057DE"/>
    <w:rsid w:val="00305B82"/>
    <w:rsid w:val="003064A1"/>
    <w:rsid w:val="00306974"/>
    <w:rsid w:val="00307ADC"/>
    <w:rsid w:val="00310C36"/>
    <w:rsid w:val="00311207"/>
    <w:rsid w:val="00311E19"/>
    <w:rsid w:val="003141CF"/>
    <w:rsid w:val="00315590"/>
    <w:rsid w:val="003159B9"/>
    <w:rsid w:val="00315A55"/>
    <w:rsid w:val="00317ED5"/>
    <w:rsid w:val="003201A8"/>
    <w:rsid w:val="00320697"/>
    <w:rsid w:val="00320AC7"/>
    <w:rsid w:val="003258E3"/>
    <w:rsid w:val="00325ECD"/>
    <w:rsid w:val="00326221"/>
    <w:rsid w:val="00326577"/>
    <w:rsid w:val="003304A2"/>
    <w:rsid w:val="003325B1"/>
    <w:rsid w:val="00333FF1"/>
    <w:rsid w:val="00335DCD"/>
    <w:rsid w:val="00336267"/>
    <w:rsid w:val="00340444"/>
    <w:rsid w:val="00346773"/>
    <w:rsid w:val="00346ADC"/>
    <w:rsid w:val="00350CEE"/>
    <w:rsid w:val="003511D2"/>
    <w:rsid w:val="00352451"/>
    <w:rsid w:val="00352512"/>
    <w:rsid w:val="00353F63"/>
    <w:rsid w:val="00353F76"/>
    <w:rsid w:val="00354107"/>
    <w:rsid w:val="00354463"/>
    <w:rsid w:val="003548A6"/>
    <w:rsid w:val="00355D44"/>
    <w:rsid w:val="00357520"/>
    <w:rsid w:val="00361ADB"/>
    <w:rsid w:val="00361BF6"/>
    <w:rsid w:val="00361F1F"/>
    <w:rsid w:val="00362CAF"/>
    <w:rsid w:val="00363146"/>
    <w:rsid w:val="003632A8"/>
    <w:rsid w:val="00365354"/>
    <w:rsid w:val="00365664"/>
    <w:rsid w:val="00366A48"/>
    <w:rsid w:val="00366CE1"/>
    <w:rsid w:val="00367844"/>
    <w:rsid w:val="0037068D"/>
    <w:rsid w:val="00370CF5"/>
    <w:rsid w:val="00370D0A"/>
    <w:rsid w:val="003711F0"/>
    <w:rsid w:val="00371DF5"/>
    <w:rsid w:val="003726AE"/>
    <w:rsid w:val="003726ED"/>
    <w:rsid w:val="00372914"/>
    <w:rsid w:val="00373A61"/>
    <w:rsid w:val="003741DA"/>
    <w:rsid w:val="003751C8"/>
    <w:rsid w:val="003753C0"/>
    <w:rsid w:val="00375C6A"/>
    <w:rsid w:val="00375C6B"/>
    <w:rsid w:val="00376333"/>
    <w:rsid w:val="00376B47"/>
    <w:rsid w:val="00376DEE"/>
    <w:rsid w:val="003773B5"/>
    <w:rsid w:val="00377B0C"/>
    <w:rsid w:val="003804CD"/>
    <w:rsid w:val="0038087B"/>
    <w:rsid w:val="00381417"/>
    <w:rsid w:val="00382000"/>
    <w:rsid w:val="00382129"/>
    <w:rsid w:val="00382A2B"/>
    <w:rsid w:val="00383E86"/>
    <w:rsid w:val="0038711B"/>
    <w:rsid w:val="00387796"/>
    <w:rsid w:val="003879AA"/>
    <w:rsid w:val="00387D9E"/>
    <w:rsid w:val="0039066C"/>
    <w:rsid w:val="003907CF"/>
    <w:rsid w:val="00393263"/>
    <w:rsid w:val="00393890"/>
    <w:rsid w:val="00393E29"/>
    <w:rsid w:val="00393E62"/>
    <w:rsid w:val="00395CBD"/>
    <w:rsid w:val="00396145"/>
    <w:rsid w:val="00396B86"/>
    <w:rsid w:val="00396DA8"/>
    <w:rsid w:val="003A0FED"/>
    <w:rsid w:val="003A1728"/>
    <w:rsid w:val="003A38C4"/>
    <w:rsid w:val="003A4360"/>
    <w:rsid w:val="003A462C"/>
    <w:rsid w:val="003A4EF9"/>
    <w:rsid w:val="003A5AF5"/>
    <w:rsid w:val="003A5FD9"/>
    <w:rsid w:val="003A6840"/>
    <w:rsid w:val="003B1BE1"/>
    <w:rsid w:val="003B20C9"/>
    <w:rsid w:val="003B25CC"/>
    <w:rsid w:val="003B2600"/>
    <w:rsid w:val="003B2FF6"/>
    <w:rsid w:val="003B3007"/>
    <w:rsid w:val="003B3897"/>
    <w:rsid w:val="003B3971"/>
    <w:rsid w:val="003B3E9B"/>
    <w:rsid w:val="003B5580"/>
    <w:rsid w:val="003B7506"/>
    <w:rsid w:val="003C0F32"/>
    <w:rsid w:val="003C1574"/>
    <w:rsid w:val="003C1598"/>
    <w:rsid w:val="003C1967"/>
    <w:rsid w:val="003C2FBE"/>
    <w:rsid w:val="003C4FE6"/>
    <w:rsid w:val="003C5261"/>
    <w:rsid w:val="003C7EC5"/>
    <w:rsid w:val="003D00DF"/>
    <w:rsid w:val="003D061D"/>
    <w:rsid w:val="003D109A"/>
    <w:rsid w:val="003D139A"/>
    <w:rsid w:val="003D1ADE"/>
    <w:rsid w:val="003D1F59"/>
    <w:rsid w:val="003D2271"/>
    <w:rsid w:val="003D28F4"/>
    <w:rsid w:val="003D46F0"/>
    <w:rsid w:val="003D4D20"/>
    <w:rsid w:val="003D4E23"/>
    <w:rsid w:val="003D5360"/>
    <w:rsid w:val="003D6D88"/>
    <w:rsid w:val="003D7715"/>
    <w:rsid w:val="003D7AC2"/>
    <w:rsid w:val="003E0183"/>
    <w:rsid w:val="003E019E"/>
    <w:rsid w:val="003E1079"/>
    <w:rsid w:val="003E1173"/>
    <w:rsid w:val="003E2753"/>
    <w:rsid w:val="003E2C43"/>
    <w:rsid w:val="003E49E6"/>
    <w:rsid w:val="003E49EF"/>
    <w:rsid w:val="003E6380"/>
    <w:rsid w:val="003E63E5"/>
    <w:rsid w:val="003E6B5F"/>
    <w:rsid w:val="003F04BF"/>
    <w:rsid w:val="003F1185"/>
    <w:rsid w:val="003F2997"/>
    <w:rsid w:val="003F2C43"/>
    <w:rsid w:val="003F3020"/>
    <w:rsid w:val="003F33BE"/>
    <w:rsid w:val="003F5449"/>
    <w:rsid w:val="003F55F9"/>
    <w:rsid w:val="003F56DF"/>
    <w:rsid w:val="003F5BD9"/>
    <w:rsid w:val="003F61EF"/>
    <w:rsid w:val="003F664B"/>
    <w:rsid w:val="003F6CFC"/>
    <w:rsid w:val="003F6E28"/>
    <w:rsid w:val="003F6FCD"/>
    <w:rsid w:val="003F72DF"/>
    <w:rsid w:val="003F77C1"/>
    <w:rsid w:val="003F7FEB"/>
    <w:rsid w:val="00400EA5"/>
    <w:rsid w:val="00401EF6"/>
    <w:rsid w:val="00402408"/>
    <w:rsid w:val="00402EB2"/>
    <w:rsid w:val="00403319"/>
    <w:rsid w:val="00403B54"/>
    <w:rsid w:val="0040453E"/>
    <w:rsid w:val="004051D5"/>
    <w:rsid w:val="004071B6"/>
    <w:rsid w:val="00407F42"/>
    <w:rsid w:val="00410F61"/>
    <w:rsid w:val="00411411"/>
    <w:rsid w:val="00411A99"/>
    <w:rsid w:val="0041283F"/>
    <w:rsid w:val="00412A24"/>
    <w:rsid w:val="00412BB4"/>
    <w:rsid w:val="004148EB"/>
    <w:rsid w:val="00415313"/>
    <w:rsid w:val="00415353"/>
    <w:rsid w:val="0041748C"/>
    <w:rsid w:val="00417BED"/>
    <w:rsid w:val="004201A9"/>
    <w:rsid w:val="00420E8A"/>
    <w:rsid w:val="00421383"/>
    <w:rsid w:val="00421A86"/>
    <w:rsid w:val="00423435"/>
    <w:rsid w:val="00423D00"/>
    <w:rsid w:val="004248F3"/>
    <w:rsid w:val="00424CF5"/>
    <w:rsid w:val="00425753"/>
    <w:rsid w:val="004258C2"/>
    <w:rsid w:val="0042721B"/>
    <w:rsid w:val="00427AC2"/>
    <w:rsid w:val="00430857"/>
    <w:rsid w:val="00432248"/>
    <w:rsid w:val="0043365A"/>
    <w:rsid w:val="00433DB2"/>
    <w:rsid w:val="00433E0E"/>
    <w:rsid w:val="00434F7C"/>
    <w:rsid w:val="00435524"/>
    <w:rsid w:val="0043553C"/>
    <w:rsid w:val="0043619B"/>
    <w:rsid w:val="00436903"/>
    <w:rsid w:val="00436C7F"/>
    <w:rsid w:val="004373AA"/>
    <w:rsid w:val="00442113"/>
    <w:rsid w:val="004425A9"/>
    <w:rsid w:val="0044376F"/>
    <w:rsid w:val="00443E65"/>
    <w:rsid w:val="00445023"/>
    <w:rsid w:val="0044503E"/>
    <w:rsid w:val="0044629E"/>
    <w:rsid w:val="004466AD"/>
    <w:rsid w:val="004468F3"/>
    <w:rsid w:val="004469A1"/>
    <w:rsid w:val="00447E6D"/>
    <w:rsid w:val="0045063D"/>
    <w:rsid w:val="00452269"/>
    <w:rsid w:val="00454A41"/>
    <w:rsid w:val="00454B63"/>
    <w:rsid w:val="00456CCE"/>
    <w:rsid w:val="00457F1D"/>
    <w:rsid w:val="004629D6"/>
    <w:rsid w:val="00462CF3"/>
    <w:rsid w:val="00463B76"/>
    <w:rsid w:val="00464A48"/>
    <w:rsid w:val="00464EC8"/>
    <w:rsid w:val="0046518E"/>
    <w:rsid w:val="00465928"/>
    <w:rsid w:val="00465F83"/>
    <w:rsid w:val="00465FEE"/>
    <w:rsid w:val="00466501"/>
    <w:rsid w:val="004715BF"/>
    <w:rsid w:val="00473435"/>
    <w:rsid w:val="00474971"/>
    <w:rsid w:val="00474A57"/>
    <w:rsid w:val="004757F1"/>
    <w:rsid w:val="004769E7"/>
    <w:rsid w:val="00476BEF"/>
    <w:rsid w:val="00477298"/>
    <w:rsid w:val="00481600"/>
    <w:rsid w:val="00484F1D"/>
    <w:rsid w:val="00485415"/>
    <w:rsid w:val="004859C9"/>
    <w:rsid w:val="004862DA"/>
    <w:rsid w:val="00486491"/>
    <w:rsid w:val="0048696C"/>
    <w:rsid w:val="00491C52"/>
    <w:rsid w:val="00491F6A"/>
    <w:rsid w:val="00492B67"/>
    <w:rsid w:val="00495B56"/>
    <w:rsid w:val="0049677B"/>
    <w:rsid w:val="00496F49"/>
    <w:rsid w:val="0049737D"/>
    <w:rsid w:val="0049761A"/>
    <w:rsid w:val="004A2A25"/>
    <w:rsid w:val="004A3E16"/>
    <w:rsid w:val="004A42D5"/>
    <w:rsid w:val="004A527F"/>
    <w:rsid w:val="004A5A6A"/>
    <w:rsid w:val="004A5BA3"/>
    <w:rsid w:val="004A74D9"/>
    <w:rsid w:val="004B225A"/>
    <w:rsid w:val="004B2301"/>
    <w:rsid w:val="004B2657"/>
    <w:rsid w:val="004B378D"/>
    <w:rsid w:val="004B3CA2"/>
    <w:rsid w:val="004B46B2"/>
    <w:rsid w:val="004B55EE"/>
    <w:rsid w:val="004B5634"/>
    <w:rsid w:val="004B69E1"/>
    <w:rsid w:val="004B6A9B"/>
    <w:rsid w:val="004B6E3F"/>
    <w:rsid w:val="004C00AD"/>
    <w:rsid w:val="004C0447"/>
    <w:rsid w:val="004C4A8A"/>
    <w:rsid w:val="004C65B0"/>
    <w:rsid w:val="004C6D58"/>
    <w:rsid w:val="004C6D65"/>
    <w:rsid w:val="004C7663"/>
    <w:rsid w:val="004D095F"/>
    <w:rsid w:val="004D13E1"/>
    <w:rsid w:val="004D2204"/>
    <w:rsid w:val="004D41E5"/>
    <w:rsid w:val="004D5139"/>
    <w:rsid w:val="004D564D"/>
    <w:rsid w:val="004E0207"/>
    <w:rsid w:val="004E0A14"/>
    <w:rsid w:val="004E1CED"/>
    <w:rsid w:val="004E2266"/>
    <w:rsid w:val="004E2E60"/>
    <w:rsid w:val="004E3B7D"/>
    <w:rsid w:val="004E3C85"/>
    <w:rsid w:val="004E61CC"/>
    <w:rsid w:val="004E6393"/>
    <w:rsid w:val="004F0525"/>
    <w:rsid w:val="004F0602"/>
    <w:rsid w:val="004F1405"/>
    <w:rsid w:val="004F2A4E"/>
    <w:rsid w:val="004F3FA8"/>
    <w:rsid w:val="004F5434"/>
    <w:rsid w:val="004F6FA5"/>
    <w:rsid w:val="004F739E"/>
    <w:rsid w:val="00501C7D"/>
    <w:rsid w:val="00502AA5"/>
    <w:rsid w:val="00503B71"/>
    <w:rsid w:val="00504AAB"/>
    <w:rsid w:val="00506824"/>
    <w:rsid w:val="00511CFF"/>
    <w:rsid w:val="005121D6"/>
    <w:rsid w:val="00512909"/>
    <w:rsid w:val="0051442E"/>
    <w:rsid w:val="005151DB"/>
    <w:rsid w:val="00515EC9"/>
    <w:rsid w:val="00515FAD"/>
    <w:rsid w:val="005166DF"/>
    <w:rsid w:val="00520547"/>
    <w:rsid w:val="00520C9B"/>
    <w:rsid w:val="005229CE"/>
    <w:rsid w:val="00523098"/>
    <w:rsid w:val="0052389B"/>
    <w:rsid w:val="00523FA6"/>
    <w:rsid w:val="00525B6A"/>
    <w:rsid w:val="00525CA6"/>
    <w:rsid w:val="00525D57"/>
    <w:rsid w:val="00527CAD"/>
    <w:rsid w:val="005302F9"/>
    <w:rsid w:val="00530319"/>
    <w:rsid w:val="00530F2E"/>
    <w:rsid w:val="0053114C"/>
    <w:rsid w:val="00534111"/>
    <w:rsid w:val="005341E5"/>
    <w:rsid w:val="00535A86"/>
    <w:rsid w:val="00537127"/>
    <w:rsid w:val="005378D2"/>
    <w:rsid w:val="00540027"/>
    <w:rsid w:val="00540CCB"/>
    <w:rsid w:val="005428A5"/>
    <w:rsid w:val="0054494D"/>
    <w:rsid w:val="00545C8D"/>
    <w:rsid w:val="00546DF0"/>
    <w:rsid w:val="00546F2D"/>
    <w:rsid w:val="00547CB3"/>
    <w:rsid w:val="00547FC3"/>
    <w:rsid w:val="005502CB"/>
    <w:rsid w:val="00551ED8"/>
    <w:rsid w:val="0055314A"/>
    <w:rsid w:val="005543CD"/>
    <w:rsid w:val="005552BE"/>
    <w:rsid w:val="005552ED"/>
    <w:rsid w:val="005562EC"/>
    <w:rsid w:val="005568F0"/>
    <w:rsid w:val="005578A1"/>
    <w:rsid w:val="00561878"/>
    <w:rsid w:val="005619F7"/>
    <w:rsid w:val="00561F6D"/>
    <w:rsid w:val="005626EB"/>
    <w:rsid w:val="005633EB"/>
    <w:rsid w:val="005643A5"/>
    <w:rsid w:val="0056449C"/>
    <w:rsid w:val="00567775"/>
    <w:rsid w:val="00567E16"/>
    <w:rsid w:val="00571D2B"/>
    <w:rsid w:val="00572854"/>
    <w:rsid w:val="00573CAA"/>
    <w:rsid w:val="005747D9"/>
    <w:rsid w:val="005767AA"/>
    <w:rsid w:val="00577D8E"/>
    <w:rsid w:val="00577DA2"/>
    <w:rsid w:val="00580B25"/>
    <w:rsid w:val="00580C78"/>
    <w:rsid w:val="0058223B"/>
    <w:rsid w:val="005825C4"/>
    <w:rsid w:val="00582913"/>
    <w:rsid w:val="005829C2"/>
    <w:rsid w:val="00583A15"/>
    <w:rsid w:val="00583A9A"/>
    <w:rsid w:val="00583D93"/>
    <w:rsid w:val="005844C9"/>
    <w:rsid w:val="00584FC1"/>
    <w:rsid w:val="0058575C"/>
    <w:rsid w:val="005859F6"/>
    <w:rsid w:val="00585F4B"/>
    <w:rsid w:val="00587A30"/>
    <w:rsid w:val="0059067A"/>
    <w:rsid w:val="0059307D"/>
    <w:rsid w:val="005931A5"/>
    <w:rsid w:val="00595D0A"/>
    <w:rsid w:val="00595D24"/>
    <w:rsid w:val="00595D76"/>
    <w:rsid w:val="00595E72"/>
    <w:rsid w:val="0059757D"/>
    <w:rsid w:val="005A001F"/>
    <w:rsid w:val="005A07C8"/>
    <w:rsid w:val="005A2289"/>
    <w:rsid w:val="005A2602"/>
    <w:rsid w:val="005A4093"/>
    <w:rsid w:val="005A4119"/>
    <w:rsid w:val="005A4EE7"/>
    <w:rsid w:val="005A5766"/>
    <w:rsid w:val="005A5B16"/>
    <w:rsid w:val="005A61FA"/>
    <w:rsid w:val="005B07C7"/>
    <w:rsid w:val="005B13F8"/>
    <w:rsid w:val="005B2130"/>
    <w:rsid w:val="005B2456"/>
    <w:rsid w:val="005B277B"/>
    <w:rsid w:val="005B2961"/>
    <w:rsid w:val="005B3697"/>
    <w:rsid w:val="005B3717"/>
    <w:rsid w:val="005B4AAA"/>
    <w:rsid w:val="005B4D4A"/>
    <w:rsid w:val="005B513F"/>
    <w:rsid w:val="005B54DE"/>
    <w:rsid w:val="005B5FD0"/>
    <w:rsid w:val="005B6832"/>
    <w:rsid w:val="005B7AB5"/>
    <w:rsid w:val="005C0566"/>
    <w:rsid w:val="005C0B12"/>
    <w:rsid w:val="005C144C"/>
    <w:rsid w:val="005C2362"/>
    <w:rsid w:val="005C40D1"/>
    <w:rsid w:val="005C4B16"/>
    <w:rsid w:val="005C4D67"/>
    <w:rsid w:val="005C5864"/>
    <w:rsid w:val="005C5D65"/>
    <w:rsid w:val="005C7039"/>
    <w:rsid w:val="005C7E11"/>
    <w:rsid w:val="005D0C12"/>
    <w:rsid w:val="005D2336"/>
    <w:rsid w:val="005D337D"/>
    <w:rsid w:val="005D388D"/>
    <w:rsid w:val="005D4788"/>
    <w:rsid w:val="005D4859"/>
    <w:rsid w:val="005D49C9"/>
    <w:rsid w:val="005D4F43"/>
    <w:rsid w:val="005D56BC"/>
    <w:rsid w:val="005D7906"/>
    <w:rsid w:val="005D7B00"/>
    <w:rsid w:val="005D7B9D"/>
    <w:rsid w:val="005D7FE0"/>
    <w:rsid w:val="005E089A"/>
    <w:rsid w:val="005E0CF1"/>
    <w:rsid w:val="005E2152"/>
    <w:rsid w:val="005E2F91"/>
    <w:rsid w:val="005E3785"/>
    <w:rsid w:val="005E3C09"/>
    <w:rsid w:val="005E3E5F"/>
    <w:rsid w:val="005E4D11"/>
    <w:rsid w:val="005E6D76"/>
    <w:rsid w:val="005E75F7"/>
    <w:rsid w:val="005F0288"/>
    <w:rsid w:val="005F0700"/>
    <w:rsid w:val="005F09AC"/>
    <w:rsid w:val="005F0A75"/>
    <w:rsid w:val="005F0EC1"/>
    <w:rsid w:val="005F10D3"/>
    <w:rsid w:val="005F151B"/>
    <w:rsid w:val="005F2472"/>
    <w:rsid w:val="005F24BE"/>
    <w:rsid w:val="005F2FEC"/>
    <w:rsid w:val="005F43D3"/>
    <w:rsid w:val="005F47B2"/>
    <w:rsid w:val="005F524E"/>
    <w:rsid w:val="005F5BB8"/>
    <w:rsid w:val="005F6213"/>
    <w:rsid w:val="005F68AB"/>
    <w:rsid w:val="005F6A3E"/>
    <w:rsid w:val="005F6DF0"/>
    <w:rsid w:val="00600AFF"/>
    <w:rsid w:val="006024AB"/>
    <w:rsid w:val="00602A16"/>
    <w:rsid w:val="00602FB4"/>
    <w:rsid w:val="00604DF7"/>
    <w:rsid w:val="00605A25"/>
    <w:rsid w:val="00605D1B"/>
    <w:rsid w:val="00605F04"/>
    <w:rsid w:val="00606C55"/>
    <w:rsid w:val="00606E77"/>
    <w:rsid w:val="00610CBF"/>
    <w:rsid w:val="00611680"/>
    <w:rsid w:val="00612177"/>
    <w:rsid w:val="00613429"/>
    <w:rsid w:val="00613886"/>
    <w:rsid w:val="00614504"/>
    <w:rsid w:val="00614D4E"/>
    <w:rsid w:val="0061622F"/>
    <w:rsid w:val="006166B5"/>
    <w:rsid w:val="00617760"/>
    <w:rsid w:val="00617D62"/>
    <w:rsid w:val="006204D5"/>
    <w:rsid w:val="00620C4B"/>
    <w:rsid w:val="006218CC"/>
    <w:rsid w:val="00621B36"/>
    <w:rsid w:val="006227CC"/>
    <w:rsid w:val="00623CC6"/>
    <w:rsid w:val="00625402"/>
    <w:rsid w:val="006256A2"/>
    <w:rsid w:val="00625E37"/>
    <w:rsid w:val="00626D20"/>
    <w:rsid w:val="00630F1F"/>
    <w:rsid w:val="0063111F"/>
    <w:rsid w:val="00631D2C"/>
    <w:rsid w:val="0063236D"/>
    <w:rsid w:val="006330E0"/>
    <w:rsid w:val="0063406F"/>
    <w:rsid w:val="0063423E"/>
    <w:rsid w:val="00634799"/>
    <w:rsid w:val="00634BA3"/>
    <w:rsid w:val="00636CB6"/>
    <w:rsid w:val="0063706B"/>
    <w:rsid w:val="00637F22"/>
    <w:rsid w:val="006404CA"/>
    <w:rsid w:val="006414F2"/>
    <w:rsid w:val="006416F4"/>
    <w:rsid w:val="00642547"/>
    <w:rsid w:val="006458D8"/>
    <w:rsid w:val="00646496"/>
    <w:rsid w:val="00646BA0"/>
    <w:rsid w:val="00646ED8"/>
    <w:rsid w:val="0065098E"/>
    <w:rsid w:val="006509FC"/>
    <w:rsid w:val="00650ACB"/>
    <w:rsid w:val="006517EE"/>
    <w:rsid w:val="00651DF4"/>
    <w:rsid w:val="006522B4"/>
    <w:rsid w:val="006524C6"/>
    <w:rsid w:val="00653161"/>
    <w:rsid w:val="0065389E"/>
    <w:rsid w:val="00654442"/>
    <w:rsid w:val="00655983"/>
    <w:rsid w:val="00656A5B"/>
    <w:rsid w:val="00657CB1"/>
    <w:rsid w:val="00660F4A"/>
    <w:rsid w:val="0066103B"/>
    <w:rsid w:val="006610B7"/>
    <w:rsid w:val="006617AB"/>
    <w:rsid w:val="006639AB"/>
    <w:rsid w:val="00663AA9"/>
    <w:rsid w:val="006651B4"/>
    <w:rsid w:val="00665BAC"/>
    <w:rsid w:val="00666A28"/>
    <w:rsid w:val="006673E3"/>
    <w:rsid w:val="006678C8"/>
    <w:rsid w:val="00670E27"/>
    <w:rsid w:val="00671D60"/>
    <w:rsid w:val="00673A68"/>
    <w:rsid w:val="006741C4"/>
    <w:rsid w:val="0067444E"/>
    <w:rsid w:val="006744C3"/>
    <w:rsid w:val="0067487D"/>
    <w:rsid w:val="00674C62"/>
    <w:rsid w:val="0067521C"/>
    <w:rsid w:val="006753CF"/>
    <w:rsid w:val="00675B05"/>
    <w:rsid w:val="00676E31"/>
    <w:rsid w:val="006805C9"/>
    <w:rsid w:val="00680BAB"/>
    <w:rsid w:val="00680F91"/>
    <w:rsid w:val="0068217F"/>
    <w:rsid w:val="00682824"/>
    <w:rsid w:val="00684914"/>
    <w:rsid w:val="006853D7"/>
    <w:rsid w:val="0068545D"/>
    <w:rsid w:val="0068647A"/>
    <w:rsid w:val="00687752"/>
    <w:rsid w:val="00692C57"/>
    <w:rsid w:val="0069405B"/>
    <w:rsid w:val="00694696"/>
    <w:rsid w:val="00696767"/>
    <w:rsid w:val="00697091"/>
    <w:rsid w:val="00697495"/>
    <w:rsid w:val="00697717"/>
    <w:rsid w:val="006A0879"/>
    <w:rsid w:val="006A0E49"/>
    <w:rsid w:val="006A169E"/>
    <w:rsid w:val="006A2C8F"/>
    <w:rsid w:val="006A34E4"/>
    <w:rsid w:val="006A3A8C"/>
    <w:rsid w:val="006A3CCF"/>
    <w:rsid w:val="006A4424"/>
    <w:rsid w:val="006A58F4"/>
    <w:rsid w:val="006B016E"/>
    <w:rsid w:val="006B040E"/>
    <w:rsid w:val="006B0E44"/>
    <w:rsid w:val="006B100E"/>
    <w:rsid w:val="006B13D2"/>
    <w:rsid w:val="006B1F08"/>
    <w:rsid w:val="006B23AF"/>
    <w:rsid w:val="006B2E97"/>
    <w:rsid w:val="006B2EEB"/>
    <w:rsid w:val="006B3690"/>
    <w:rsid w:val="006B4A11"/>
    <w:rsid w:val="006B512B"/>
    <w:rsid w:val="006B52C8"/>
    <w:rsid w:val="006B7643"/>
    <w:rsid w:val="006B7F34"/>
    <w:rsid w:val="006C094D"/>
    <w:rsid w:val="006C1392"/>
    <w:rsid w:val="006C24D3"/>
    <w:rsid w:val="006C31B6"/>
    <w:rsid w:val="006C35FC"/>
    <w:rsid w:val="006C494C"/>
    <w:rsid w:val="006C4F5D"/>
    <w:rsid w:val="006C6155"/>
    <w:rsid w:val="006C61F8"/>
    <w:rsid w:val="006C6415"/>
    <w:rsid w:val="006C6FEC"/>
    <w:rsid w:val="006D00B8"/>
    <w:rsid w:val="006D4EDD"/>
    <w:rsid w:val="006D6C0A"/>
    <w:rsid w:val="006D6F43"/>
    <w:rsid w:val="006E0725"/>
    <w:rsid w:val="006E35BA"/>
    <w:rsid w:val="006E479C"/>
    <w:rsid w:val="006E57E4"/>
    <w:rsid w:val="006E67F8"/>
    <w:rsid w:val="006E7BA7"/>
    <w:rsid w:val="006E7C2B"/>
    <w:rsid w:val="006F0D8B"/>
    <w:rsid w:val="006F0F44"/>
    <w:rsid w:val="006F208A"/>
    <w:rsid w:val="006F405E"/>
    <w:rsid w:val="006F4F6C"/>
    <w:rsid w:val="006F5660"/>
    <w:rsid w:val="006F7201"/>
    <w:rsid w:val="006F7EF7"/>
    <w:rsid w:val="0070179B"/>
    <w:rsid w:val="007021C4"/>
    <w:rsid w:val="0070277E"/>
    <w:rsid w:val="00705C43"/>
    <w:rsid w:val="00705F55"/>
    <w:rsid w:val="0070687D"/>
    <w:rsid w:val="007068E2"/>
    <w:rsid w:val="007108B1"/>
    <w:rsid w:val="00710A04"/>
    <w:rsid w:val="00711419"/>
    <w:rsid w:val="00712EDD"/>
    <w:rsid w:val="00715371"/>
    <w:rsid w:val="00715441"/>
    <w:rsid w:val="00715587"/>
    <w:rsid w:val="00715F15"/>
    <w:rsid w:val="00716B2F"/>
    <w:rsid w:val="00716E46"/>
    <w:rsid w:val="00720EBB"/>
    <w:rsid w:val="007212F0"/>
    <w:rsid w:val="007230AC"/>
    <w:rsid w:val="007260C3"/>
    <w:rsid w:val="0072614C"/>
    <w:rsid w:val="00726323"/>
    <w:rsid w:val="00726C4B"/>
    <w:rsid w:val="00726E1E"/>
    <w:rsid w:val="007278D9"/>
    <w:rsid w:val="00730626"/>
    <w:rsid w:val="00730C65"/>
    <w:rsid w:val="007317D1"/>
    <w:rsid w:val="00731B00"/>
    <w:rsid w:val="00732637"/>
    <w:rsid w:val="00732886"/>
    <w:rsid w:val="0073302C"/>
    <w:rsid w:val="00733430"/>
    <w:rsid w:val="00733E64"/>
    <w:rsid w:val="00736263"/>
    <w:rsid w:val="0073656C"/>
    <w:rsid w:val="00736B5D"/>
    <w:rsid w:val="00737314"/>
    <w:rsid w:val="00742906"/>
    <w:rsid w:val="00743D15"/>
    <w:rsid w:val="0074550D"/>
    <w:rsid w:val="007455F3"/>
    <w:rsid w:val="0074756F"/>
    <w:rsid w:val="0074765B"/>
    <w:rsid w:val="007477FC"/>
    <w:rsid w:val="0074785B"/>
    <w:rsid w:val="00750BBD"/>
    <w:rsid w:val="0075104D"/>
    <w:rsid w:val="007511EC"/>
    <w:rsid w:val="00751389"/>
    <w:rsid w:val="00751448"/>
    <w:rsid w:val="0075235C"/>
    <w:rsid w:val="00752C6E"/>
    <w:rsid w:val="00752D3C"/>
    <w:rsid w:val="00754A34"/>
    <w:rsid w:val="00754BD4"/>
    <w:rsid w:val="00754BD9"/>
    <w:rsid w:val="00754F2C"/>
    <w:rsid w:val="00755529"/>
    <w:rsid w:val="0075555E"/>
    <w:rsid w:val="007567C1"/>
    <w:rsid w:val="007578CC"/>
    <w:rsid w:val="007579F3"/>
    <w:rsid w:val="00757A3F"/>
    <w:rsid w:val="00760987"/>
    <w:rsid w:val="0076156C"/>
    <w:rsid w:val="00761752"/>
    <w:rsid w:val="00761759"/>
    <w:rsid w:val="00761D34"/>
    <w:rsid w:val="00765084"/>
    <w:rsid w:val="00765A37"/>
    <w:rsid w:val="00766487"/>
    <w:rsid w:val="00767522"/>
    <w:rsid w:val="007676DF"/>
    <w:rsid w:val="00770D20"/>
    <w:rsid w:val="007713E0"/>
    <w:rsid w:val="00771BB9"/>
    <w:rsid w:val="007731EB"/>
    <w:rsid w:val="00775317"/>
    <w:rsid w:val="00775E96"/>
    <w:rsid w:val="00776664"/>
    <w:rsid w:val="00780466"/>
    <w:rsid w:val="0078056C"/>
    <w:rsid w:val="0078293D"/>
    <w:rsid w:val="00784790"/>
    <w:rsid w:val="00784E07"/>
    <w:rsid w:val="0078604A"/>
    <w:rsid w:val="007874DF"/>
    <w:rsid w:val="00787BEA"/>
    <w:rsid w:val="00791584"/>
    <w:rsid w:val="00791F95"/>
    <w:rsid w:val="00792DEB"/>
    <w:rsid w:val="0079354F"/>
    <w:rsid w:val="00794339"/>
    <w:rsid w:val="00794D51"/>
    <w:rsid w:val="00794F26"/>
    <w:rsid w:val="0079767D"/>
    <w:rsid w:val="00797754"/>
    <w:rsid w:val="007A2CFA"/>
    <w:rsid w:val="007A4499"/>
    <w:rsid w:val="007A4ABC"/>
    <w:rsid w:val="007A4D54"/>
    <w:rsid w:val="007A6BBE"/>
    <w:rsid w:val="007A7088"/>
    <w:rsid w:val="007A71F8"/>
    <w:rsid w:val="007A7702"/>
    <w:rsid w:val="007B063A"/>
    <w:rsid w:val="007B0F04"/>
    <w:rsid w:val="007B1030"/>
    <w:rsid w:val="007B1C19"/>
    <w:rsid w:val="007B2506"/>
    <w:rsid w:val="007B2573"/>
    <w:rsid w:val="007B2739"/>
    <w:rsid w:val="007B2C2C"/>
    <w:rsid w:val="007B2D08"/>
    <w:rsid w:val="007B323E"/>
    <w:rsid w:val="007B3930"/>
    <w:rsid w:val="007B42E4"/>
    <w:rsid w:val="007B43B4"/>
    <w:rsid w:val="007B43E8"/>
    <w:rsid w:val="007B7419"/>
    <w:rsid w:val="007B7986"/>
    <w:rsid w:val="007C11A6"/>
    <w:rsid w:val="007C1E49"/>
    <w:rsid w:val="007C1EC5"/>
    <w:rsid w:val="007C1FF4"/>
    <w:rsid w:val="007C2024"/>
    <w:rsid w:val="007C20FC"/>
    <w:rsid w:val="007C2AD5"/>
    <w:rsid w:val="007C4CEA"/>
    <w:rsid w:val="007C79C2"/>
    <w:rsid w:val="007D0B4F"/>
    <w:rsid w:val="007D0B89"/>
    <w:rsid w:val="007D22BC"/>
    <w:rsid w:val="007D248E"/>
    <w:rsid w:val="007D2CF2"/>
    <w:rsid w:val="007D504F"/>
    <w:rsid w:val="007D53C3"/>
    <w:rsid w:val="007D5B5A"/>
    <w:rsid w:val="007D61FE"/>
    <w:rsid w:val="007D6589"/>
    <w:rsid w:val="007D6E4C"/>
    <w:rsid w:val="007D7706"/>
    <w:rsid w:val="007E017B"/>
    <w:rsid w:val="007E0283"/>
    <w:rsid w:val="007E02A7"/>
    <w:rsid w:val="007E0CF0"/>
    <w:rsid w:val="007E144B"/>
    <w:rsid w:val="007E1BDD"/>
    <w:rsid w:val="007E2BC9"/>
    <w:rsid w:val="007E344D"/>
    <w:rsid w:val="007E40E5"/>
    <w:rsid w:val="007E723F"/>
    <w:rsid w:val="007E7B35"/>
    <w:rsid w:val="007F1407"/>
    <w:rsid w:val="007F164E"/>
    <w:rsid w:val="007F318F"/>
    <w:rsid w:val="007F3EFD"/>
    <w:rsid w:val="007F4430"/>
    <w:rsid w:val="007F467C"/>
    <w:rsid w:val="007F487F"/>
    <w:rsid w:val="007F4AEA"/>
    <w:rsid w:val="007F7656"/>
    <w:rsid w:val="008015F8"/>
    <w:rsid w:val="008020CB"/>
    <w:rsid w:val="00803302"/>
    <w:rsid w:val="008049D0"/>
    <w:rsid w:val="00805619"/>
    <w:rsid w:val="00805757"/>
    <w:rsid w:val="00805F02"/>
    <w:rsid w:val="008062C7"/>
    <w:rsid w:val="0080656D"/>
    <w:rsid w:val="00806608"/>
    <w:rsid w:val="00806A6F"/>
    <w:rsid w:val="00806A8A"/>
    <w:rsid w:val="00806F08"/>
    <w:rsid w:val="008079F9"/>
    <w:rsid w:val="008114FD"/>
    <w:rsid w:val="00811B0D"/>
    <w:rsid w:val="00812D71"/>
    <w:rsid w:val="0081334C"/>
    <w:rsid w:val="0081344F"/>
    <w:rsid w:val="0081437C"/>
    <w:rsid w:val="00814966"/>
    <w:rsid w:val="008150DB"/>
    <w:rsid w:val="00815AA0"/>
    <w:rsid w:val="008161F1"/>
    <w:rsid w:val="008164D5"/>
    <w:rsid w:val="00817391"/>
    <w:rsid w:val="008174F5"/>
    <w:rsid w:val="00820D06"/>
    <w:rsid w:val="00820F87"/>
    <w:rsid w:val="008211BF"/>
    <w:rsid w:val="008217AF"/>
    <w:rsid w:val="008219D6"/>
    <w:rsid w:val="008220ED"/>
    <w:rsid w:val="008222AB"/>
    <w:rsid w:val="008224F0"/>
    <w:rsid w:val="008228DB"/>
    <w:rsid w:val="0082341C"/>
    <w:rsid w:val="00823E5E"/>
    <w:rsid w:val="008248A4"/>
    <w:rsid w:val="00824E25"/>
    <w:rsid w:val="00824EB9"/>
    <w:rsid w:val="00825022"/>
    <w:rsid w:val="008261E5"/>
    <w:rsid w:val="0082625D"/>
    <w:rsid w:val="00826CA5"/>
    <w:rsid w:val="008318F0"/>
    <w:rsid w:val="00832AA2"/>
    <w:rsid w:val="00833BF5"/>
    <w:rsid w:val="00833F14"/>
    <w:rsid w:val="00833FE4"/>
    <w:rsid w:val="00834095"/>
    <w:rsid w:val="00837E53"/>
    <w:rsid w:val="00837FF5"/>
    <w:rsid w:val="00840FCA"/>
    <w:rsid w:val="00840FF2"/>
    <w:rsid w:val="008415B4"/>
    <w:rsid w:val="00844DD0"/>
    <w:rsid w:val="00845AA2"/>
    <w:rsid w:val="00846BFE"/>
    <w:rsid w:val="00846C38"/>
    <w:rsid w:val="0084763A"/>
    <w:rsid w:val="00850E3E"/>
    <w:rsid w:val="00851B5F"/>
    <w:rsid w:val="00852A2E"/>
    <w:rsid w:val="0085381C"/>
    <w:rsid w:val="00853BDD"/>
    <w:rsid w:val="00854222"/>
    <w:rsid w:val="00854831"/>
    <w:rsid w:val="008550BE"/>
    <w:rsid w:val="00855658"/>
    <w:rsid w:val="008556F4"/>
    <w:rsid w:val="00855A61"/>
    <w:rsid w:val="00857BA5"/>
    <w:rsid w:val="008600BE"/>
    <w:rsid w:val="00860ACB"/>
    <w:rsid w:val="00861625"/>
    <w:rsid w:val="00861D30"/>
    <w:rsid w:val="00862823"/>
    <w:rsid w:val="008631F3"/>
    <w:rsid w:val="008641D1"/>
    <w:rsid w:val="00867438"/>
    <w:rsid w:val="008717C3"/>
    <w:rsid w:val="008727DE"/>
    <w:rsid w:val="008727FB"/>
    <w:rsid w:val="0087369D"/>
    <w:rsid w:val="00873D1C"/>
    <w:rsid w:val="00875E8F"/>
    <w:rsid w:val="00875F75"/>
    <w:rsid w:val="00876107"/>
    <w:rsid w:val="00876D12"/>
    <w:rsid w:val="00877402"/>
    <w:rsid w:val="00880BCF"/>
    <w:rsid w:val="008818DD"/>
    <w:rsid w:val="00881E7D"/>
    <w:rsid w:val="008826BF"/>
    <w:rsid w:val="008832E3"/>
    <w:rsid w:val="00884F7E"/>
    <w:rsid w:val="008853FD"/>
    <w:rsid w:val="00886C5F"/>
    <w:rsid w:val="00886CD2"/>
    <w:rsid w:val="00886DCA"/>
    <w:rsid w:val="00887354"/>
    <w:rsid w:val="00890579"/>
    <w:rsid w:val="00890DC3"/>
    <w:rsid w:val="0089124A"/>
    <w:rsid w:val="00891314"/>
    <w:rsid w:val="00891CC9"/>
    <w:rsid w:val="00892921"/>
    <w:rsid w:val="00892A1E"/>
    <w:rsid w:val="008940E1"/>
    <w:rsid w:val="0089437B"/>
    <w:rsid w:val="00894A5B"/>
    <w:rsid w:val="00895196"/>
    <w:rsid w:val="00897586"/>
    <w:rsid w:val="00897F3D"/>
    <w:rsid w:val="008A0037"/>
    <w:rsid w:val="008A02E7"/>
    <w:rsid w:val="008A0369"/>
    <w:rsid w:val="008A0EDE"/>
    <w:rsid w:val="008A1D0E"/>
    <w:rsid w:val="008A2299"/>
    <w:rsid w:val="008A22EF"/>
    <w:rsid w:val="008A37A0"/>
    <w:rsid w:val="008A3DA9"/>
    <w:rsid w:val="008A449C"/>
    <w:rsid w:val="008A45FC"/>
    <w:rsid w:val="008A55ED"/>
    <w:rsid w:val="008A5902"/>
    <w:rsid w:val="008A6426"/>
    <w:rsid w:val="008A7950"/>
    <w:rsid w:val="008B00B3"/>
    <w:rsid w:val="008B010C"/>
    <w:rsid w:val="008B1BC4"/>
    <w:rsid w:val="008B355F"/>
    <w:rsid w:val="008B5969"/>
    <w:rsid w:val="008B6145"/>
    <w:rsid w:val="008B7375"/>
    <w:rsid w:val="008B7669"/>
    <w:rsid w:val="008C05EA"/>
    <w:rsid w:val="008C07C6"/>
    <w:rsid w:val="008C2414"/>
    <w:rsid w:val="008C25F8"/>
    <w:rsid w:val="008C2648"/>
    <w:rsid w:val="008C4171"/>
    <w:rsid w:val="008C4C23"/>
    <w:rsid w:val="008C4F39"/>
    <w:rsid w:val="008C7022"/>
    <w:rsid w:val="008C749D"/>
    <w:rsid w:val="008D0D1F"/>
    <w:rsid w:val="008D1C4E"/>
    <w:rsid w:val="008D478A"/>
    <w:rsid w:val="008D47F9"/>
    <w:rsid w:val="008D4A2C"/>
    <w:rsid w:val="008D4B69"/>
    <w:rsid w:val="008D5235"/>
    <w:rsid w:val="008D55E7"/>
    <w:rsid w:val="008D67C6"/>
    <w:rsid w:val="008D7043"/>
    <w:rsid w:val="008D773E"/>
    <w:rsid w:val="008D77BA"/>
    <w:rsid w:val="008E2A62"/>
    <w:rsid w:val="008E37B7"/>
    <w:rsid w:val="008E3803"/>
    <w:rsid w:val="008E3C41"/>
    <w:rsid w:val="008E4D1C"/>
    <w:rsid w:val="008E5353"/>
    <w:rsid w:val="008E5622"/>
    <w:rsid w:val="008E631A"/>
    <w:rsid w:val="008E7533"/>
    <w:rsid w:val="008F14C5"/>
    <w:rsid w:val="008F1817"/>
    <w:rsid w:val="008F1C8E"/>
    <w:rsid w:val="008F25FF"/>
    <w:rsid w:val="008F3490"/>
    <w:rsid w:val="008F3D53"/>
    <w:rsid w:val="008F3EE1"/>
    <w:rsid w:val="008F598F"/>
    <w:rsid w:val="008F6544"/>
    <w:rsid w:val="008F6B79"/>
    <w:rsid w:val="00900625"/>
    <w:rsid w:val="00901FDB"/>
    <w:rsid w:val="00902315"/>
    <w:rsid w:val="00902AB8"/>
    <w:rsid w:val="0090429F"/>
    <w:rsid w:val="009048FC"/>
    <w:rsid w:val="009048FF"/>
    <w:rsid w:val="0090644C"/>
    <w:rsid w:val="0090649D"/>
    <w:rsid w:val="00910227"/>
    <w:rsid w:val="009105F2"/>
    <w:rsid w:val="00911119"/>
    <w:rsid w:val="009111E3"/>
    <w:rsid w:val="0091358F"/>
    <w:rsid w:val="0091561D"/>
    <w:rsid w:val="009157B3"/>
    <w:rsid w:val="009179B5"/>
    <w:rsid w:val="00923459"/>
    <w:rsid w:val="00924440"/>
    <w:rsid w:val="009248FB"/>
    <w:rsid w:val="009253FE"/>
    <w:rsid w:val="0092642E"/>
    <w:rsid w:val="00926F92"/>
    <w:rsid w:val="009275D5"/>
    <w:rsid w:val="00927E13"/>
    <w:rsid w:val="00931188"/>
    <w:rsid w:val="00932B60"/>
    <w:rsid w:val="00933919"/>
    <w:rsid w:val="00933950"/>
    <w:rsid w:val="009351D6"/>
    <w:rsid w:val="009353EC"/>
    <w:rsid w:val="00935645"/>
    <w:rsid w:val="0093594A"/>
    <w:rsid w:val="009360E5"/>
    <w:rsid w:val="00936270"/>
    <w:rsid w:val="00937F98"/>
    <w:rsid w:val="00940360"/>
    <w:rsid w:val="0094094B"/>
    <w:rsid w:val="00941A03"/>
    <w:rsid w:val="009435C2"/>
    <w:rsid w:val="0094386D"/>
    <w:rsid w:val="00943B93"/>
    <w:rsid w:val="00943BC2"/>
    <w:rsid w:val="00943D24"/>
    <w:rsid w:val="00944A06"/>
    <w:rsid w:val="009453E2"/>
    <w:rsid w:val="00947AC1"/>
    <w:rsid w:val="00950587"/>
    <w:rsid w:val="00950849"/>
    <w:rsid w:val="009512CB"/>
    <w:rsid w:val="009517CA"/>
    <w:rsid w:val="00951DC6"/>
    <w:rsid w:val="0095263E"/>
    <w:rsid w:val="009540DD"/>
    <w:rsid w:val="009545FC"/>
    <w:rsid w:val="00955A37"/>
    <w:rsid w:val="0095653D"/>
    <w:rsid w:val="00956AE2"/>
    <w:rsid w:val="009570B7"/>
    <w:rsid w:val="00957162"/>
    <w:rsid w:val="0095729B"/>
    <w:rsid w:val="009604C7"/>
    <w:rsid w:val="00960800"/>
    <w:rsid w:val="00960F8B"/>
    <w:rsid w:val="00961AD3"/>
    <w:rsid w:val="00962BAC"/>
    <w:rsid w:val="00964103"/>
    <w:rsid w:val="009649CE"/>
    <w:rsid w:val="00964EBC"/>
    <w:rsid w:val="009664B2"/>
    <w:rsid w:val="00966CE5"/>
    <w:rsid w:val="00966F0E"/>
    <w:rsid w:val="0096763A"/>
    <w:rsid w:val="00973721"/>
    <w:rsid w:val="00973C9A"/>
    <w:rsid w:val="009744BD"/>
    <w:rsid w:val="009768FD"/>
    <w:rsid w:val="0097789D"/>
    <w:rsid w:val="00977FF7"/>
    <w:rsid w:val="0098038A"/>
    <w:rsid w:val="00980D4C"/>
    <w:rsid w:val="00980F92"/>
    <w:rsid w:val="009811A2"/>
    <w:rsid w:val="009817FA"/>
    <w:rsid w:val="00983240"/>
    <w:rsid w:val="009836F4"/>
    <w:rsid w:val="00983EFF"/>
    <w:rsid w:val="00985C81"/>
    <w:rsid w:val="00985F3D"/>
    <w:rsid w:val="00986909"/>
    <w:rsid w:val="00987C18"/>
    <w:rsid w:val="00990A4F"/>
    <w:rsid w:val="00990EA1"/>
    <w:rsid w:val="00990F59"/>
    <w:rsid w:val="0099190D"/>
    <w:rsid w:val="00991951"/>
    <w:rsid w:val="0099358E"/>
    <w:rsid w:val="00994B08"/>
    <w:rsid w:val="00995491"/>
    <w:rsid w:val="009957D0"/>
    <w:rsid w:val="009968AF"/>
    <w:rsid w:val="009971A8"/>
    <w:rsid w:val="00997A90"/>
    <w:rsid w:val="009A2A20"/>
    <w:rsid w:val="009A2BD2"/>
    <w:rsid w:val="009A2EE6"/>
    <w:rsid w:val="009A3B13"/>
    <w:rsid w:val="009A4129"/>
    <w:rsid w:val="009A44B4"/>
    <w:rsid w:val="009A4A64"/>
    <w:rsid w:val="009A4BDE"/>
    <w:rsid w:val="009A6CBA"/>
    <w:rsid w:val="009B0353"/>
    <w:rsid w:val="009B0720"/>
    <w:rsid w:val="009B0725"/>
    <w:rsid w:val="009B0A5C"/>
    <w:rsid w:val="009B16F7"/>
    <w:rsid w:val="009B2346"/>
    <w:rsid w:val="009B2382"/>
    <w:rsid w:val="009B37E5"/>
    <w:rsid w:val="009B52D7"/>
    <w:rsid w:val="009B560A"/>
    <w:rsid w:val="009B56AA"/>
    <w:rsid w:val="009B5DA7"/>
    <w:rsid w:val="009B5F33"/>
    <w:rsid w:val="009B6F27"/>
    <w:rsid w:val="009B73D8"/>
    <w:rsid w:val="009C0485"/>
    <w:rsid w:val="009C0B3F"/>
    <w:rsid w:val="009C4ABC"/>
    <w:rsid w:val="009C58B4"/>
    <w:rsid w:val="009C7765"/>
    <w:rsid w:val="009D1019"/>
    <w:rsid w:val="009D2DE6"/>
    <w:rsid w:val="009D4D9B"/>
    <w:rsid w:val="009D63F3"/>
    <w:rsid w:val="009D70F4"/>
    <w:rsid w:val="009D7965"/>
    <w:rsid w:val="009E18DD"/>
    <w:rsid w:val="009E2C13"/>
    <w:rsid w:val="009E312C"/>
    <w:rsid w:val="009E44E4"/>
    <w:rsid w:val="009E5737"/>
    <w:rsid w:val="009E5FA0"/>
    <w:rsid w:val="009F11F8"/>
    <w:rsid w:val="009F1A44"/>
    <w:rsid w:val="009F1C50"/>
    <w:rsid w:val="009F2DD0"/>
    <w:rsid w:val="009F3106"/>
    <w:rsid w:val="009F31AE"/>
    <w:rsid w:val="009F322A"/>
    <w:rsid w:val="009F35C4"/>
    <w:rsid w:val="009F3C49"/>
    <w:rsid w:val="009F3FDF"/>
    <w:rsid w:val="009F4766"/>
    <w:rsid w:val="009F477D"/>
    <w:rsid w:val="009F5005"/>
    <w:rsid w:val="009F5E22"/>
    <w:rsid w:val="009F6A4C"/>
    <w:rsid w:val="009F749D"/>
    <w:rsid w:val="009F7859"/>
    <w:rsid w:val="00A0059B"/>
    <w:rsid w:val="00A00650"/>
    <w:rsid w:val="00A00D99"/>
    <w:rsid w:val="00A029EF"/>
    <w:rsid w:val="00A032F0"/>
    <w:rsid w:val="00A06467"/>
    <w:rsid w:val="00A07589"/>
    <w:rsid w:val="00A107E9"/>
    <w:rsid w:val="00A13D14"/>
    <w:rsid w:val="00A141D2"/>
    <w:rsid w:val="00A14AC8"/>
    <w:rsid w:val="00A14B60"/>
    <w:rsid w:val="00A157BA"/>
    <w:rsid w:val="00A15848"/>
    <w:rsid w:val="00A15EDF"/>
    <w:rsid w:val="00A17B8F"/>
    <w:rsid w:val="00A20352"/>
    <w:rsid w:val="00A23CAB"/>
    <w:rsid w:val="00A24DA5"/>
    <w:rsid w:val="00A24F4F"/>
    <w:rsid w:val="00A26A5C"/>
    <w:rsid w:val="00A26D8E"/>
    <w:rsid w:val="00A26E71"/>
    <w:rsid w:val="00A2721E"/>
    <w:rsid w:val="00A30015"/>
    <w:rsid w:val="00A31DA4"/>
    <w:rsid w:val="00A326B8"/>
    <w:rsid w:val="00A33514"/>
    <w:rsid w:val="00A34E6C"/>
    <w:rsid w:val="00A3650A"/>
    <w:rsid w:val="00A375FD"/>
    <w:rsid w:val="00A377A4"/>
    <w:rsid w:val="00A40499"/>
    <w:rsid w:val="00A41217"/>
    <w:rsid w:val="00A41D8F"/>
    <w:rsid w:val="00A420EC"/>
    <w:rsid w:val="00A42BB0"/>
    <w:rsid w:val="00A42C4A"/>
    <w:rsid w:val="00A43F46"/>
    <w:rsid w:val="00A440AB"/>
    <w:rsid w:val="00A44597"/>
    <w:rsid w:val="00A46BFD"/>
    <w:rsid w:val="00A50A7A"/>
    <w:rsid w:val="00A50FD5"/>
    <w:rsid w:val="00A51E67"/>
    <w:rsid w:val="00A5260C"/>
    <w:rsid w:val="00A5320C"/>
    <w:rsid w:val="00A53EAF"/>
    <w:rsid w:val="00A544AD"/>
    <w:rsid w:val="00A547FB"/>
    <w:rsid w:val="00A5502E"/>
    <w:rsid w:val="00A56B7C"/>
    <w:rsid w:val="00A57490"/>
    <w:rsid w:val="00A574E7"/>
    <w:rsid w:val="00A576D7"/>
    <w:rsid w:val="00A60F13"/>
    <w:rsid w:val="00A62892"/>
    <w:rsid w:val="00A6366D"/>
    <w:rsid w:val="00A647C0"/>
    <w:rsid w:val="00A64E96"/>
    <w:rsid w:val="00A654A5"/>
    <w:rsid w:val="00A655CC"/>
    <w:rsid w:val="00A6763C"/>
    <w:rsid w:val="00A67783"/>
    <w:rsid w:val="00A6785D"/>
    <w:rsid w:val="00A701A1"/>
    <w:rsid w:val="00A70979"/>
    <w:rsid w:val="00A71B62"/>
    <w:rsid w:val="00A71CE7"/>
    <w:rsid w:val="00A72B6D"/>
    <w:rsid w:val="00A72FED"/>
    <w:rsid w:val="00A73A92"/>
    <w:rsid w:val="00A74802"/>
    <w:rsid w:val="00A778C6"/>
    <w:rsid w:val="00A80A17"/>
    <w:rsid w:val="00A80D05"/>
    <w:rsid w:val="00A82190"/>
    <w:rsid w:val="00A829FF"/>
    <w:rsid w:val="00A85108"/>
    <w:rsid w:val="00A85E8D"/>
    <w:rsid w:val="00A8670A"/>
    <w:rsid w:val="00A9121C"/>
    <w:rsid w:val="00A91482"/>
    <w:rsid w:val="00A91932"/>
    <w:rsid w:val="00A91C91"/>
    <w:rsid w:val="00A91F35"/>
    <w:rsid w:val="00A934A5"/>
    <w:rsid w:val="00A934B8"/>
    <w:rsid w:val="00A94738"/>
    <w:rsid w:val="00A95E2F"/>
    <w:rsid w:val="00A9615F"/>
    <w:rsid w:val="00A96585"/>
    <w:rsid w:val="00A977C6"/>
    <w:rsid w:val="00AA04F5"/>
    <w:rsid w:val="00AA05CD"/>
    <w:rsid w:val="00AA1071"/>
    <w:rsid w:val="00AA2352"/>
    <w:rsid w:val="00AA4284"/>
    <w:rsid w:val="00AA4600"/>
    <w:rsid w:val="00AA6395"/>
    <w:rsid w:val="00AA6CA3"/>
    <w:rsid w:val="00AA6FFA"/>
    <w:rsid w:val="00AA757D"/>
    <w:rsid w:val="00AA7D4A"/>
    <w:rsid w:val="00AB1509"/>
    <w:rsid w:val="00AB196E"/>
    <w:rsid w:val="00AB281E"/>
    <w:rsid w:val="00AB3939"/>
    <w:rsid w:val="00AB46E1"/>
    <w:rsid w:val="00AB47C8"/>
    <w:rsid w:val="00AB6833"/>
    <w:rsid w:val="00AB7EE7"/>
    <w:rsid w:val="00AC09C4"/>
    <w:rsid w:val="00AC0AE8"/>
    <w:rsid w:val="00AC1378"/>
    <w:rsid w:val="00AC16CB"/>
    <w:rsid w:val="00AC1C0B"/>
    <w:rsid w:val="00AC263C"/>
    <w:rsid w:val="00AC27FA"/>
    <w:rsid w:val="00AC37B5"/>
    <w:rsid w:val="00AC3AA1"/>
    <w:rsid w:val="00AC3B5E"/>
    <w:rsid w:val="00AC3E3F"/>
    <w:rsid w:val="00AC40B8"/>
    <w:rsid w:val="00AC6656"/>
    <w:rsid w:val="00AC6813"/>
    <w:rsid w:val="00AC7A21"/>
    <w:rsid w:val="00AD032B"/>
    <w:rsid w:val="00AD12A1"/>
    <w:rsid w:val="00AD2436"/>
    <w:rsid w:val="00AD2CC6"/>
    <w:rsid w:val="00AD4B5D"/>
    <w:rsid w:val="00AD591B"/>
    <w:rsid w:val="00AD6DF9"/>
    <w:rsid w:val="00AD78DE"/>
    <w:rsid w:val="00AE042E"/>
    <w:rsid w:val="00AE1665"/>
    <w:rsid w:val="00AE2C00"/>
    <w:rsid w:val="00AE2CFD"/>
    <w:rsid w:val="00AE30C3"/>
    <w:rsid w:val="00AE5F46"/>
    <w:rsid w:val="00AE63E7"/>
    <w:rsid w:val="00AE695A"/>
    <w:rsid w:val="00AE7CCC"/>
    <w:rsid w:val="00AF0A92"/>
    <w:rsid w:val="00AF2226"/>
    <w:rsid w:val="00AF2C86"/>
    <w:rsid w:val="00AF4773"/>
    <w:rsid w:val="00AF4AEA"/>
    <w:rsid w:val="00AF4BE2"/>
    <w:rsid w:val="00AF4DE3"/>
    <w:rsid w:val="00B00D00"/>
    <w:rsid w:val="00B00F8E"/>
    <w:rsid w:val="00B0204F"/>
    <w:rsid w:val="00B03B12"/>
    <w:rsid w:val="00B05AAA"/>
    <w:rsid w:val="00B072E5"/>
    <w:rsid w:val="00B10071"/>
    <w:rsid w:val="00B11EC5"/>
    <w:rsid w:val="00B122F4"/>
    <w:rsid w:val="00B12706"/>
    <w:rsid w:val="00B12983"/>
    <w:rsid w:val="00B12AAB"/>
    <w:rsid w:val="00B132AC"/>
    <w:rsid w:val="00B13A26"/>
    <w:rsid w:val="00B13C5D"/>
    <w:rsid w:val="00B141AF"/>
    <w:rsid w:val="00B14D1A"/>
    <w:rsid w:val="00B15310"/>
    <w:rsid w:val="00B1555D"/>
    <w:rsid w:val="00B20DB6"/>
    <w:rsid w:val="00B21F2F"/>
    <w:rsid w:val="00B232D4"/>
    <w:rsid w:val="00B24270"/>
    <w:rsid w:val="00B246F5"/>
    <w:rsid w:val="00B248E9"/>
    <w:rsid w:val="00B25579"/>
    <w:rsid w:val="00B26EEE"/>
    <w:rsid w:val="00B27C5D"/>
    <w:rsid w:val="00B30C70"/>
    <w:rsid w:val="00B310C4"/>
    <w:rsid w:val="00B318A9"/>
    <w:rsid w:val="00B3205D"/>
    <w:rsid w:val="00B3209F"/>
    <w:rsid w:val="00B3224E"/>
    <w:rsid w:val="00B33420"/>
    <w:rsid w:val="00B338BE"/>
    <w:rsid w:val="00B34B02"/>
    <w:rsid w:val="00B35606"/>
    <w:rsid w:val="00B356FC"/>
    <w:rsid w:val="00B35C9B"/>
    <w:rsid w:val="00B36617"/>
    <w:rsid w:val="00B36B88"/>
    <w:rsid w:val="00B37003"/>
    <w:rsid w:val="00B37619"/>
    <w:rsid w:val="00B37A41"/>
    <w:rsid w:val="00B37BC0"/>
    <w:rsid w:val="00B37D54"/>
    <w:rsid w:val="00B42053"/>
    <w:rsid w:val="00B42BC9"/>
    <w:rsid w:val="00B45532"/>
    <w:rsid w:val="00B45761"/>
    <w:rsid w:val="00B45F3B"/>
    <w:rsid w:val="00B4716B"/>
    <w:rsid w:val="00B50BD8"/>
    <w:rsid w:val="00B50DE7"/>
    <w:rsid w:val="00B52D24"/>
    <w:rsid w:val="00B53EBF"/>
    <w:rsid w:val="00B5422C"/>
    <w:rsid w:val="00B54AC2"/>
    <w:rsid w:val="00B56533"/>
    <w:rsid w:val="00B575E0"/>
    <w:rsid w:val="00B6080A"/>
    <w:rsid w:val="00B6088C"/>
    <w:rsid w:val="00B609E9"/>
    <w:rsid w:val="00B63FE2"/>
    <w:rsid w:val="00B646D0"/>
    <w:rsid w:val="00B64DD9"/>
    <w:rsid w:val="00B672FA"/>
    <w:rsid w:val="00B70CBA"/>
    <w:rsid w:val="00B7115C"/>
    <w:rsid w:val="00B71BED"/>
    <w:rsid w:val="00B72CEF"/>
    <w:rsid w:val="00B72D33"/>
    <w:rsid w:val="00B72E0C"/>
    <w:rsid w:val="00B72FF9"/>
    <w:rsid w:val="00B732CC"/>
    <w:rsid w:val="00B73363"/>
    <w:rsid w:val="00B735E2"/>
    <w:rsid w:val="00B740D9"/>
    <w:rsid w:val="00B75FEC"/>
    <w:rsid w:val="00B768CD"/>
    <w:rsid w:val="00B76E58"/>
    <w:rsid w:val="00B82668"/>
    <w:rsid w:val="00B834F4"/>
    <w:rsid w:val="00B83833"/>
    <w:rsid w:val="00B86C9C"/>
    <w:rsid w:val="00B91957"/>
    <w:rsid w:val="00B91B63"/>
    <w:rsid w:val="00B941FE"/>
    <w:rsid w:val="00B95AD5"/>
    <w:rsid w:val="00B96079"/>
    <w:rsid w:val="00B9762F"/>
    <w:rsid w:val="00BA0B7C"/>
    <w:rsid w:val="00BA21D0"/>
    <w:rsid w:val="00BA2742"/>
    <w:rsid w:val="00BA4E5F"/>
    <w:rsid w:val="00BA5236"/>
    <w:rsid w:val="00BA7913"/>
    <w:rsid w:val="00BB015E"/>
    <w:rsid w:val="00BB05AF"/>
    <w:rsid w:val="00BB229E"/>
    <w:rsid w:val="00BB2725"/>
    <w:rsid w:val="00BB2933"/>
    <w:rsid w:val="00BB3BBA"/>
    <w:rsid w:val="00BB51A9"/>
    <w:rsid w:val="00BB58B7"/>
    <w:rsid w:val="00BB5FBB"/>
    <w:rsid w:val="00BB674B"/>
    <w:rsid w:val="00BB68EF"/>
    <w:rsid w:val="00BC0133"/>
    <w:rsid w:val="00BC03CA"/>
    <w:rsid w:val="00BC25DA"/>
    <w:rsid w:val="00BC4791"/>
    <w:rsid w:val="00BC490A"/>
    <w:rsid w:val="00BC4BD7"/>
    <w:rsid w:val="00BC6171"/>
    <w:rsid w:val="00BC6961"/>
    <w:rsid w:val="00BC76EF"/>
    <w:rsid w:val="00BC7B74"/>
    <w:rsid w:val="00BD0EBE"/>
    <w:rsid w:val="00BD21A6"/>
    <w:rsid w:val="00BD2ADC"/>
    <w:rsid w:val="00BD3A9E"/>
    <w:rsid w:val="00BD502D"/>
    <w:rsid w:val="00BD5D93"/>
    <w:rsid w:val="00BD745B"/>
    <w:rsid w:val="00BE0217"/>
    <w:rsid w:val="00BE081E"/>
    <w:rsid w:val="00BE09C0"/>
    <w:rsid w:val="00BE2884"/>
    <w:rsid w:val="00BE2BF4"/>
    <w:rsid w:val="00BE2C8F"/>
    <w:rsid w:val="00BE3ED8"/>
    <w:rsid w:val="00BE4267"/>
    <w:rsid w:val="00BE70A0"/>
    <w:rsid w:val="00BE7C47"/>
    <w:rsid w:val="00BF0A90"/>
    <w:rsid w:val="00BF2D5B"/>
    <w:rsid w:val="00BF2EAB"/>
    <w:rsid w:val="00BF33C5"/>
    <w:rsid w:val="00BF394F"/>
    <w:rsid w:val="00BF40B9"/>
    <w:rsid w:val="00BF48C4"/>
    <w:rsid w:val="00BF49BA"/>
    <w:rsid w:val="00BF5089"/>
    <w:rsid w:val="00BF666B"/>
    <w:rsid w:val="00BF6831"/>
    <w:rsid w:val="00BF7003"/>
    <w:rsid w:val="00BF7218"/>
    <w:rsid w:val="00C0022A"/>
    <w:rsid w:val="00C0033A"/>
    <w:rsid w:val="00C00AEC"/>
    <w:rsid w:val="00C00DEB"/>
    <w:rsid w:val="00C015A5"/>
    <w:rsid w:val="00C01BD8"/>
    <w:rsid w:val="00C04EEB"/>
    <w:rsid w:val="00C05628"/>
    <w:rsid w:val="00C05D86"/>
    <w:rsid w:val="00C05E39"/>
    <w:rsid w:val="00C063B5"/>
    <w:rsid w:val="00C0684C"/>
    <w:rsid w:val="00C07339"/>
    <w:rsid w:val="00C07F7B"/>
    <w:rsid w:val="00C112E6"/>
    <w:rsid w:val="00C11DB8"/>
    <w:rsid w:val="00C12A08"/>
    <w:rsid w:val="00C130FC"/>
    <w:rsid w:val="00C133C8"/>
    <w:rsid w:val="00C1383B"/>
    <w:rsid w:val="00C14513"/>
    <w:rsid w:val="00C14C0B"/>
    <w:rsid w:val="00C14DDF"/>
    <w:rsid w:val="00C152B0"/>
    <w:rsid w:val="00C1602F"/>
    <w:rsid w:val="00C161B8"/>
    <w:rsid w:val="00C1653C"/>
    <w:rsid w:val="00C16E04"/>
    <w:rsid w:val="00C17ABF"/>
    <w:rsid w:val="00C2068A"/>
    <w:rsid w:val="00C2077A"/>
    <w:rsid w:val="00C2080F"/>
    <w:rsid w:val="00C20D17"/>
    <w:rsid w:val="00C2144E"/>
    <w:rsid w:val="00C24F11"/>
    <w:rsid w:val="00C257E2"/>
    <w:rsid w:val="00C26523"/>
    <w:rsid w:val="00C26766"/>
    <w:rsid w:val="00C26913"/>
    <w:rsid w:val="00C26F75"/>
    <w:rsid w:val="00C30F05"/>
    <w:rsid w:val="00C31484"/>
    <w:rsid w:val="00C328DF"/>
    <w:rsid w:val="00C32A45"/>
    <w:rsid w:val="00C32BDF"/>
    <w:rsid w:val="00C32C99"/>
    <w:rsid w:val="00C32E5D"/>
    <w:rsid w:val="00C34182"/>
    <w:rsid w:val="00C348DE"/>
    <w:rsid w:val="00C34BBE"/>
    <w:rsid w:val="00C34E25"/>
    <w:rsid w:val="00C35875"/>
    <w:rsid w:val="00C40633"/>
    <w:rsid w:val="00C43AC5"/>
    <w:rsid w:val="00C47227"/>
    <w:rsid w:val="00C472F0"/>
    <w:rsid w:val="00C47625"/>
    <w:rsid w:val="00C50BFD"/>
    <w:rsid w:val="00C52167"/>
    <w:rsid w:val="00C525B4"/>
    <w:rsid w:val="00C52B36"/>
    <w:rsid w:val="00C536C2"/>
    <w:rsid w:val="00C53A63"/>
    <w:rsid w:val="00C54276"/>
    <w:rsid w:val="00C54807"/>
    <w:rsid w:val="00C54FBD"/>
    <w:rsid w:val="00C55CF6"/>
    <w:rsid w:val="00C56999"/>
    <w:rsid w:val="00C60BFB"/>
    <w:rsid w:val="00C60E51"/>
    <w:rsid w:val="00C615D0"/>
    <w:rsid w:val="00C618F7"/>
    <w:rsid w:val="00C62C04"/>
    <w:rsid w:val="00C62F6C"/>
    <w:rsid w:val="00C630F7"/>
    <w:rsid w:val="00C63395"/>
    <w:rsid w:val="00C65672"/>
    <w:rsid w:val="00C67308"/>
    <w:rsid w:val="00C67CFB"/>
    <w:rsid w:val="00C72C51"/>
    <w:rsid w:val="00C7345C"/>
    <w:rsid w:val="00C736DF"/>
    <w:rsid w:val="00C73B87"/>
    <w:rsid w:val="00C744D9"/>
    <w:rsid w:val="00C760CA"/>
    <w:rsid w:val="00C767CE"/>
    <w:rsid w:val="00C7681E"/>
    <w:rsid w:val="00C76CFB"/>
    <w:rsid w:val="00C811B8"/>
    <w:rsid w:val="00C82C70"/>
    <w:rsid w:val="00C85807"/>
    <w:rsid w:val="00C858C7"/>
    <w:rsid w:val="00C85FAB"/>
    <w:rsid w:val="00C863A1"/>
    <w:rsid w:val="00C865DE"/>
    <w:rsid w:val="00C87E66"/>
    <w:rsid w:val="00C90312"/>
    <w:rsid w:val="00C90540"/>
    <w:rsid w:val="00C907A8"/>
    <w:rsid w:val="00C90C1A"/>
    <w:rsid w:val="00C90DCC"/>
    <w:rsid w:val="00C90EB8"/>
    <w:rsid w:val="00C90FBB"/>
    <w:rsid w:val="00C913B6"/>
    <w:rsid w:val="00C91BC3"/>
    <w:rsid w:val="00C92745"/>
    <w:rsid w:val="00C92AAF"/>
    <w:rsid w:val="00C92E6F"/>
    <w:rsid w:val="00C942D3"/>
    <w:rsid w:val="00C95A02"/>
    <w:rsid w:val="00C9718E"/>
    <w:rsid w:val="00C9726C"/>
    <w:rsid w:val="00CA03FE"/>
    <w:rsid w:val="00CA0474"/>
    <w:rsid w:val="00CA12FD"/>
    <w:rsid w:val="00CA17C3"/>
    <w:rsid w:val="00CA1FF6"/>
    <w:rsid w:val="00CA2824"/>
    <w:rsid w:val="00CA372F"/>
    <w:rsid w:val="00CA4D15"/>
    <w:rsid w:val="00CA53AB"/>
    <w:rsid w:val="00CA6538"/>
    <w:rsid w:val="00CA6880"/>
    <w:rsid w:val="00CA7739"/>
    <w:rsid w:val="00CA7E92"/>
    <w:rsid w:val="00CB07BD"/>
    <w:rsid w:val="00CB10F9"/>
    <w:rsid w:val="00CB184B"/>
    <w:rsid w:val="00CB20C9"/>
    <w:rsid w:val="00CB254A"/>
    <w:rsid w:val="00CB2901"/>
    <w:rsid w:val="00CB45D4"/>
    <w:rsid w:val="00CB49FF"/>
    <w:rsid w:val="00CB53F0"/>
    <w:rsid w:val="00CB69FC"/>
    <w:rsid w:val="00CB7504"/>
    <w:rsid w:val="00CC01B8"/>
    <w:rsid w:val="00CC06C0"/>
    <w:rsid w:val="00CC475C"/>
    <w:rsid w:val="00CC52C9"/>
    <w:rsid w:val="00CC5957"/>
    <w:rsid w:val="00CC6A6F"/>
    <w:rsid w:val="00CC6C3F"/>
    <w:rsid w:val="00CC6DEC"/>
    <w:rsid w:val="00CC6EF0"/>
    <w:rsid w:val="00CC73BF"/>
    <w:rsid w:val="00CC7AD3"/>
    <w:rsid w:val="00CD10E5"/>
    <w:rsid w:val="00CD18CA"/>
    <w:rsid w:val="00CD1CDC"/>
    <w:rsid w:val="00CD2279"/>
    <w:rsid w:val="00CD2297"/>
    <w:rsid w:val="00CD3047"/>
    <w:rsid w:val="00CD48AE"/>
    <w:rsid w:val="00CD5462"/>
    <w:rsid w:val="00CD5519"/>
    <w:rsid w:val="00CD5851"/>
    <w:rsid w:val="00CD60D4"/>
    <w:rsid w:val="00CD6E2E"/>
    <w:rsid w:val="00CD6E8C"/>
    <w:rsid w:val="00CD7923"/>
    <w:rsid w:val="00CD7EB8"/>
    <w:rsid w:val="00CE0232"/>
    <w:rsid w:val="00CE094A"/>
    <w:rsid w:val="00CE0DBE"/>
    <w:rsid w:val="00CE143D"/>
    <w:rsid w:val="00CE1D78"/>
    <w:rsid w:val="00CE2991"/>
    <w:rsid w:val="00CE3E3E"/>
    <w:rsid w:val="00CE3EC5"/>
    <w:rsid w:val="00CE4C10"/>
    <w:rsid w:val="00CE69D1"/>
    <w:rsid w:val="00CE6D7F"/>
    <w:rsid w:val="00CE7791"/>
    <w:rsid w:val="00CF05B7"/>
    <w:rsid w:val="00CF11A3"/>
    <w:rsid w:val="00CF1B84"/>
    <w:rsid w:val="00CF1BE7"/>
    <w:rsid w:val="00CF1FCA"/>
    <w:rsid w:val="00CF2207"/>
    <w:rsid w:val="00CF2C50"/>
    <w:rsid w:val="00CF417F"/>
    <w:rsid w:val="00CF543A"/>
    <w:rsid w:val="00CF576D"/>
    <w:rsid w:val="00CF611A"/>
    <w:rsid w:val="00CF6564"/>
    <w:rsid w:val="00CF6940"/>
    <w:rsid w:val="00CF69E3"/>
    <w:rsid w:val="00CF738E"/>
    <w:rsid w:val="00D00009"/>
    <w:rsid w:val="00D01966"/>
    <w:rsid w:val="00D036FF"/>
    <w:rsid w:val="00D03CCA"/>
    <w:rsid w:val="00D0414C"/>
    <w:rsid w:val="00D05D9D"/>
    <w:rsid w:val="00D078F4"/>
    <w:rsid w:val="00D079CD"/>
    <w:rsid w:val="00D11807"/>
    <w:rsid w:val="00D13C1F"/>
    <w:rsid w:val="00D13C65"/>
    <w:rsid w:val="00D150BB"/>
    <w:rsid w:val="00D16080"/>
    <w:rsid w:val="00D214BA"/>
    <w:rsid w:val="00D2199C"/>
    <w:rsid w:val="00D2379D"/>
    <w:rsid w:val="00D23F25"/>
    <w:rsid w:val="00D244C1"/>
    <w:rsid w:val="00D24A7E"/>
    <w:rsid w:val="00D25352"/>
    <w:rsid w:val="00D255CF"/>
    <w:rsid w:val="00D26A5A"/>
    <w:rsid w:val="00D27628"/>
    <w:rsid w:val="00D30489"/>
    <w:rsid w:val="00D310C4"/>
    <w:rsid w:val="00D313A3"/>
    <w:rsid w:val="00D31565"/>
    <w:rsid w:val="00D3309F"/>
    <w:rsid w:val="00D33408"/>
    <w:rsid w:val="00D3367C"/>
    <w:rsid w:val="00D33C61"/>
    <w:rsid w:val="00D345A3"/>
    <w:rsid w:val="00D347A7"/>
    <w:rsid w:val="00D35318"/>
    <w:rsid w:val="00D35EAE"/>
    <w:rsid w:val="00D3641F"/>
    <w:rsid w:val="00D4026C"/>
    <w:rsid w:val="00D4124A"/>
    <w:rsid w:val="00D41E6E"/>
    <w:rsid w:val="00D41F2D"/>
    <w:rsid w:val="00D42104"/>
    <w:rsid w:val="00D42232"/>
    <w:rsid w:val="00D42431"/>
    <w:rsid w:val="00D430E9"/>
    <w:rsid w:val="00D445D1"/>
    <w:rsid w:val="00D44BC9"/>
    <w:rsid w:val="00D45274"/>
    <w:rsid w:val="00D458E5"/>
    <w:rsid w:val="00D461DF"/>
    <w:rsid w:val="00D464A8"/>
    <w:rsid w:val="00D50185"/>
    <w:rsid w:val="00D50955"/>
    <w:rsid w:val="00D509EC"/>
    <w:rsid w:val="00D51165"/>
    <w:rsid w:val="00D546A9"/>
    <w:rsid w:val="00D55350"/>
    <w:rsid w:val="00D55730"/>
    <w:rsid w:val="00D55B2E"/>
    <w:rsid w:val="00D56311"/>
    <w:rsid w:val="00D57E2F"/>
    <w:rsid w:val="00D61D05"/>
    <w:rsid w:val="00D625CB"/>
    <w:rsid w:val="00D62E3A"/>
    <w:rsid w:val="00D6334C"/>
    <w:rsid w:val="00D64CA5"/>
    <w:rsid w:val="00D653FE"/>
    <w:rsid w:val="00D657B4"/>
    <w:rsid w:val="00D6757E"/>
    <w:rsid w:val="00D70307"/>
    <w:rsid w:val="00D70E18"/>
    <w:rsid w:val="00D71AEF"/>
    <w:rsid w:val="00D728E6"/>
    <w:rsid w:val="00D72C22"/>
    <w:rsid w:val="00D738DA"/>
    <w:rsid w:val="00D74D6F"/>
    <w:rsid w:val="00D762CD"/>
    <w:rsid w:val="00D76B6A"/>
    <w:rsid w:val="00D773B8"/>
    <w:rsid w:val="00D8044B"/>
    <w:rsid w:val="00D823B9"/>
    <w:rsid w:val="00D82581"/>
    <w:rsid w:val="00D83A14"/>
    <w:rsid w:val="00D840A1"/>
    <w:rsid w:val="00D85FC7"/>
    <w:rsid w:val="00D866D8"/>
    <w:rsid w:val="00D870D7"/>
    <w:rsid w:val="00D87519"/>
    <w:rsid w:val="00D87B4B"/>
    <w:rsid w:val="00D87C4F"/>
    <w:rsid w:val="00D900A4"/>
    <w:rsid w:val="00D90B2A"/>
    <w:rsid w:val="00D90EEF"/>
    <w:rsid w:val="00D9169E"/>
    <w:rsid w:val="00D932D2"/>
    <w:rsid w:val="00D9414D"/>
    <w:rsid w:val="00D94B60"/>
    <w:rsid w:val="00D9508A"/>
    <w:rsid w:val="00D975AD"/>
    <w:rsid w:val="00D977C4"/>
    <w:rsid w:val="00DA01CD"/>
    <w:rsid w:val="00DA0A8B"/>
    <w:rsid w:val="00DA3243"/>
    <w:rsid w:val="00DA44DB"/>
    <w:rsid w:val="00DA46BA"/>
    <w:rsid w:val="00DA57CF"/>
    <w:rsid w:val="00DA6140"/>
    <w:rsid w:val="00DA61F4"/>
    <w:rsid w:val="00DA6767"/>
    <w:rsid w:val="00DB3985"/>
    <w:rsid w:val="00DB4509"/>
    <w:rsid w:val="00DB5060"/>
    <w:rsid w:val="00DB50DA"/>
    <w:rsid w:val="00DB5C82"/>
    <w:rsid w:val="00DC0FBD"/>
    <w:rsid w:val="00DC19D8"/>
    <w:rsid w:val="00DC1DC2"/>
    <w:rsid w:val="00DC2FB4"/>
    <w:rsid w:val="00DC30A5"/>
    <w:rsid w:val="00DC388C"/>
    <w:rsid w:val="00DC3E20"/>
    <w:rsid w:val="00DC4A67"/>
    <w:rsid w:val="00DC5473"/>
    <w:rsid w:val="00DC6D5F"/>
    <w:rsid w:val="00DC7129"/>
    <w:rsid w:val="00DC77DF"/>
    <w:rsid w:val="00DC7EEC"/>
    <w:rsid w:val="00DD11A7"/>
    <w:rsid w:val="00DD15D7"/>
    <w:rsid w:val="00DD1E88"/>
    <w:rsid w:val="00DD311F"/>
    <w:rsid w:val="00DD38F7"/>
    <w:rsid w:val="00DD3A54"/>
    <w:rsid w:val="00DD41A9"/>
    <w:rsid w:val="00DD4E10"/>
    <w:rsid w:val="00DD54F3"/>
    <w:rsid w:val="00DD740B"/>
    <w:rsid w:val="00DD76E5"/>
    <w:rsid w:val="00DD7D96"/>
    <w:rsid w:val="00DE04E3"/>
    <w:rsid w:val="00DE1BBB"/>
    <w:rsid w:val="00DE3469"/>
    <w:rsid w:val="00DE43CA"/>
    <w:rsid w:val="00DE4BAC"/>
    <w:rsid w:val="00DE551A"/>
    <w:rsid w:val="00DE64F9"/>
    <w:rsid w:val="00DE65D1"/>
    <w:rsid w:val="00DE7843"/>
    <w:rsid w:val="00DF1038"/>
    <w:rsid w:val="00DF1B5F"/>
    <w:rsid w:val="00DF2142"/>
    <w:rsid w:val="00DF2D1B"/>
    <w:rsid w:val="00DF31D7"/>
    <w:rsid w:val="00DF33F8"/>
    <w:rsid w:val="00DF51B1"/>
    <w:rsid w:val="00DF5AFA"/>
    <w:rsid w:val="00DF6FE7"/>
    <w:rsid w:val="00DF7595"/>
    <w:rsid w:val="00E00AF5"/>
    <w:rsid w:val="00E01941"/>
    <w:rsid w:val="00E03D5C"/>
    <w:rsid w:val="00E0401B"/>
    <w:rsid w:val="00E105F6"/>
    <w:rsid w:val="00E1276A"/>
    <w:rsid w:val="00E129A8"/>
    <w:rsid w:val="00E133CE"/>
    <w:rsid w:val="00E13A6C"/>
    <w:rsid w:val="00E144F0"/>
    <w:rsid w:val="00E14758"/>
    <w:rsid w:val="00E15490"/>
    <w:rsid w:val="00E20245"/>
    <w:rsid w:val="00E209C0"/>
    <w:rsid w:val="00E21AFF"/>
    <w:rsid w:val="00E223FC"/>
    <w:rsid w:val="00E235E2"/>
    <w:rsid w:val="00E25705"/>
    <w:rsid w:val="00E25C28"/>
    <w:rsid w:val="00E268CA"/>
    <w:rsid w:val="00E27BAE"/>
    <w:rsid w:val="00E308BE"/>
    <w:rsid w:val="00E31ED2"/>
    <w:rsid w:val="00E3200C"/>
    <w:rsid w:val="00E328A4"/>
    <w:rsid w:val="00E33D41"/>
    <w:rsid w:val="00E349F3"/>
    <w:rsid w:val="00E34E5B"/>
    <w:rsid w:val="00E367DC"/>
    <w:rsid w:val="00E369EA"/>
    <w:rsid w:val="00E37D40"/>
    <w:rsid w:val="00E37F0B"/>
    <w:rsid w:val="00E40641"/>
    <w:rsid w:val="00E408F4"/>
    <w:rsid w:val="00E40F66"/>
    <w:rsid w:val="00E42ED7"/>
    <w:rsid w:val="00E4392E"/>
    <w:rsid w:val="00E44896"/>
    <w:rsid w:val="00E45236"/>
    <w:rsid w:val="00E464C5"/>
    <w:rsid w:val="00E47A59"/>
    <w:rsid w:val="00E47C3D"/>
    <w:rsid w:val="00E501F6"/>
    <w:rsid w:val="00E50F99"/>
    <w:rsid w:val="00E51E52"/>
    <w:rsid w:val="00E53056"/>
    <w:rsid w:val="00E54839"/>
    <w:rsid w:val="00E554CF"/>
    <w:rsid w:val="00E55DAE"/>
    <w:rsid w:val="00E56501"/>
    <w:rsid w:val="00E57CED"/>
    <w:rsid w:val="00E61EA0"/>
    <w:rsid w:val="00E62F04"/>
    <w:rsid w:val="00E63BE5"/>
    <w:rsid w:val="00E63FE7"/>
    <w:rsid w:val="00E64D35"/>
    <w:rsid w:val="00E64F1B"/>
    <w:rsid w:val="00E6675B"/>
    <w:rsid w:val="00E675F1"/>
    <w:rsid w:val="00E72576"/>
    <w:rsid w:val="00E72C9E"/>
    <w:rsid w:val="00E73156"/>
    <w:rsid w:val="00E7615D"/>
    <w:rsid w:val="00E76245"/>
    <w:rsid w:val="00E76B02"/>
    <w:rsid w:val="00E77112"/>
    <w:rsid w:val="00E82022"/>
    <w:rsid w:val="00E82BF4"/>
    <w:rsid w:val="00E8326C"/>
    <w:rsid w:val="00E84C5C"/>
    <w:rsid w:val="00E84D4F"/>
    <w:rsid w:val="00E866B7"/>
    <w:rsid w:val="00E86A60"/>
    <w:rsid w:val="00E90176"/>
    <w:rsid w:val="00E90A2F"/>
    <w:rsid w:val="00E91ED0"/>
    <w:rsid w:val="00E91F38"/>
    <w:rsid w:val="00E94596"/>
    <w:rsid w:val="00E954D3"/>
    <w:rsid w:val="00E958E5"/>
    <w:rsid w:val="00E95AA3"/>
    <w:rsid w:val="00E96AF1"/>
    <w:rsid w:val="00E975D7"/>
    <w:rsid w:val="00E979D6"/>
    <w:rsid w:val="00EA12CD"/>
    <w:rsid w:val="00EA2308"/>
    <w:rsid w:val="00EA2ADE"/>
    <w:rsid w:val="00EA3895"/>
    <w:rsid w:val="00EA3B18"/>
    <w:rsid w:val="00EA3CA6"/>
    <w:rsid w:val="00EA5D77"/>
    <w:rsid w:val="00EA6691"/>
    <w:rsid w:val="00EA7D45"/>
    <w:rsid w:val="00EB16E6"/>
    <w:rsid w:val="00EB33BE"/>
    <w:rsid w:val="00EB39C3"/>
    <w:rsid w:val="00EB4102"/>
    <w:rsid w:val="00EB4EF1"/>
    <w:rsid w:val="00EB53CE"/>
    <w:rsid w:val="00EB70E4"/>
    <w:rsid w:val="00EB73EF"/>
    <w:rsid w:val="00EC06EC"/>
    <w:rsid w:val="00EC1424"/>
    <w:rsid w:val="00EC1683"/>
    <w:rsid w:val="00EC2352"/>
    <w:rsid w:val="00EC27A4"/>
    <w:rsid w:val="00EC2A54"/>
    <w:rsid w:val="00EC46DE"/>
    <w:rsid w:val="00EC58B2"/>
    <w:rsid w:val="00EC6629"/>
    <w:rsid w:val="00EC7119"/>
    <w:rsid w:val="00EC7559"/>
    <w:rsid w:val="00ED032B"/>
    <w:rsid w:val="00ED2CB4"/>
    <w:rsid w:val="00ED3182"/>
    <w:rsid w:val="00ED3D4B"/>
    <w:rsid w:val="00ED7E34"/>
    <w:rsid w:val="00EE1AAE"/>
    <w:rsid w:val="00EE1B32"/>
    <w:rsid w:val="00EE1C98"/>
    <w:rsid w:val="00EE3672"/>
    <w:rsid w:val="00EE5873"/>
    <w:rsid w:val="00EE5B39"/>
    <w:rsid w:val="00EE6BDD"/>
    <w:rsid w:val="00EF0195"/>
    <w:rsid w:val="00EF0711"/>
    <w:rsid w:val="00EF0752"/>
    <w:rsid w:val="00EF130B"/>
    <w:rsid w:val="00EF1B81"/>
    <w:rsid w:val="00EF3DAA"/>
    <w:rsid w:val="00EF464B"/>
    <w:rsid w:val="00EF4706"/>
    <w:rsid w:val="00EF4EE6"/>
    <w:rsid w:val="00EF4F8F"/>
    <w:rsid w:val="00EF5EF3"/>
    <w:rsid w:val="00EF61D2"/>
    <w:rsid w:val="00EF7170"/>
    <w:rsid w:val="00EF7571"/>
    <w:rsid w:val="00EF7EC3"/>
    <w:rsid w:val="00EF7F6D"/>
    <w:rsid w:val="00F00DA3"/>
    <w:rsid w:val="00F016C1"/>
    <w:rsid w:val="00F02C06"/>
    <w:rsid w:val="00F0324C"/>
    <w:rsid w:val="00F03352"/>
    <w:rsid w:val="00F10DFD"/>
    <w:rsid w:val="00F11542"/>
    <w:rsid w:val="00F123D2"/>
    <w:rsid w:val="00F13118"/>
    <w:rsid w:val="00F1373E"/>
    <w:rsid w:val="00F138E2"/>
    <w:rsid w:val="00F13A60"/>
    <w:rsid w:val="00F13C2A"/>
    <w:rsid w:val="00F140DD"/>
    <w:rsid w:val="00F15375"/>
    <w:rsid w:val="00F164E5"/>
    <w:rsid w:val="00F203FF"/>
    <w:rsid w:val="00F22549"/>
    <w:rsid w:val="00F22F31"/>
    <w:rsid w:val="00F22F9E"/>
    <w:rsid w:val="00F23051"/>
    <w:rsid w:val="00F23227"/>
    <w:rsid w:val="00F245EC"/>
    <w:rsid w:val="00F24809"/>
    <w:rsid w:val="00F24ABD"/>
    <w:rsid w:val="00F24D23"/>
    <w:rsid w:val="00F25633"/>
    <w:rsid w:val="00F259E4"/>
    <w:rsid w:val="00F26641"/>
    <w:rsid w:val="00F30ED0"/>
    <w:rsid w:val="00F310B5"/>
    <w:rsid w:val="00F311E8"/>
    <w:rsid w:val="00F31725"/>
    <w:rsid w:val="00F324A7"/>
    <w:rsid w:val="00F32FF3"/>
    <w:rsid w:val="00F3325A"/>
    <w:rsid w:val="00F33889"/>
    <w:rsid w:val="00F33C2B"/>
    <w:rsid w:val="00F35364"/>
    <w:rsid w:val="00F35637"/>
    <w:rsid w:val="00F36512"/>
    <w:rsid w:val="00F36700"/>
    <w:rsid w:val="00F36845"/>
    <w:rsid w:val="00F36CB4"/>
    <w:rsid w:val="00F37266"/>
    <w:rsid w:val="00F37775"/>
    <w:rsid w:val="00F40596"/>
    <w:rsid w:val="00F40AE3"/>
    <w:rsid w:val="00F40D4E"/>
    <w:rsid w:val="00F411DF"/>
    <w:rsid w:val="00F4120B"/>
    <w:rsid w:val="00F41EC5"/>
    <w:rsid w:val="00F42A9B"/>
    <w:rsid w:val="00F42E01"/>
    <w:rsid w:val="00F44CC7"/>
    <w:rsid w:val="00F451F8"/>
    <w:rsid w:val="00F459B1"/>
    <w:rsid w:val="00F45A39"/>
    <w:rsid w:val="00F463A9"/>
    <w:rsid w:val="00F463AB"/>
    <w:rsid w:val="00F4798E"/>
    <w:rsid w:val="00F50160"/>
    <w:rsid w:val="00F50923"/>
    <w:rsid w:val="00F519B5"/>
    <w:rsid w:val="00F51C52"/>
    <w:rsid w:val="00F52D74"/>
    <w:rsid w:val="00F538A5"/>
    <w:rsid w:val="00F53F1F"/>
    <w:rsid w:val="00F55B68"/>
    <w:rsid w:val="00F572C7"/>
    <w:rsid w:val="00F60285"/>
    <w:rsid w:val="00F61527"/>
    <w:rsid w:val="00F61D90"/>
    <w:rsid w:val="00F63470"/>
    <w:rsid w:val="00F634FB"/>
    <w:rsid w:val="00F638CF"/>
    <w:rsid w:val="00F64426"/>
    <w:rsid w:val="00F64DFE"/>
    <w:rsid w:val="00F65845"/>
    <w:rsid w:val="00F65AAD"/>
    <w:rsid w:val="00F6654F"/>
    <w:rsid w:val="00F66812"/>
    <w:rsid w:val="00F66A2B"/>
    <w:rsid w:val="00F66E32"/>
    <w:rsid w:val="00F66E41"/>
    <w:rsid w:val="00F701B9"/>
    <w:rsid w:val="00F70B77"/>
    <w:rsid w:val="00F71630"/>
    <w:rsid w:val="00F71C8D"/>
    <w:rsid w:val="00F71F4B"/>
    <w:rsid w:val="00F72D5F"/>
    <w:rsid w:val="00F756BA"/>
    <w:rsid w:val="00F756BB"/>
    <w:rsid w:val="00F76044"/>
    <w:rsid w:val="00F77383"/>
    <w:rsid w:val="00F77998"/>
    <w:rsid w:val="00F80CD4"/>
    <w:rsid w:val="00F80D17"/>
    <w:rsid w:val="00F81AE5"/>
    <w:rsid w:val="00F81E2C"/>
    <w:rsid w:val="00F826BF"/>
    <w:rsid w:val="00F845F7"/>
    <w:rsid w:val="00F851BB"/>
    <w:rsid w:val="00F853BF"/>
    <w:rsid w:val="00F85978"/>
    <w:rsid w:val="00F860F9"/>
    <w:rsid w:val="00F86107"/>
    <w:rsid w:val="00F8613B"/>
    <w:rsid w:val="00F864E1"/>
    <w:rsid w:val="00F865A2"/>
    <w:rsid w:val="00F91015"/>
    <w:rsid w:val="00F91809"/>
    <w:rsid w:val="00F91BBF"/>
    <w:rsid w:val="00F93F8F"/>
    <w:rsid w:val="00F969E6"/>
    <w:rsid w:val="00FA319E"/>
    <w:rsid w:val="00FA39BE"/>
    <w:rsid w:val="00FA3D9B"/>
    <w:rsid w:val="00FA49EF"/>
    <w:rsid w:val="00FA4D38"/>
    <w:rsid w:val="00FA5119"/>
    <w:rsid w:val="00FA5AEF"/>
    <w:rsid w:val="00FA5F44"/>
    <w:rsid w:val="00FA68BD"/>
    <w:rsid w:val="00FA697A"/>
    <w:rsid w:val="00FA6D53"/>
    <w:rsid w:val="00FA7992"/>
    <w:rsid w:val="00FA7AA8"/>
    <w:rsid w:val="00FA7D5A"/>
    <w:rsid w:val="00FB06B3"/>
    <w:rsid w:val="00FB0C15"/>
    <w:rsid w:val="00FB187F"/>
    <w:rsid w:val="00FB1892"/>
    <w:rsid w:val="00FB3DF7"/>
    <w:rsid w:val="00FB52F6"/>
    <w:rsid w:val="00FB621F"/>
    <w:rsid w:val="00FB6223"/>
    <w:rsid w:val="00FC1FCD"/>
    <w:rsid w:val="00FC30EA"/>
    <w:rsid w:val="00FC3B0A"/>
    <w:rsid w:val="00FC4BDA"/>
    <w:rsid w:val="00FC50EA"/>
    <w:rsid w:val="00FC5192"/>
    <w:rsid w:val="00FC6908"/>
    <w:rsid w:val="00FC7C83"/>
    <w:rsid w:val="00FD004F"/>
    <w:rsid w:val="00FD082E"/>
    <w:rsid w:val="00FD0DBE"/>
    <w:rsid w:val="00FD10BE"/>
    <w:rsid w:val="00FD172A"/>
    <w:rsid w:val="00FD172D"/>
    <w:rsid w:val="00FD1DE4"/>
    <w:rsid w:val="00FD331B"/>
    <w:rsid w:val="00FD515E"/>
    <w:rsid w:val="00FD6005"/>
    <w:rsid w:val="00FD66CC"/>
    <w:rsid w:val="00FD6E58"/>
    <w:rsid w:val="00FD7C0A"/>
    <w:rsid w:val="00FE0803"/>
    <w:rsid w:val="00FE1AEA"/>
    <w:rsid w:val="00FE1ECD"/>
    <w:rsid w:val="00FE32FB"/>
    <w:rsid w:val="00FE3F0A"/>
    <w:rsid w:val="00FE521D"/>
    <w:rsid w:val="00FE604D"/>
    <w:rsid w:val="00FE663B"/>
    <w:rsid w:val="00FE67EB"/>
    <w:rsid w:val="00FE6B04"/>
    <w:rsid w:val="00FE7DB0"/>
    <w:rsid w:val="00FF07AC"/>
    <w:rsid w:val="00FF0EC4"/>
    <w:rsid w:val="00FF2835"/>
    <w:rsid w:val="00FF3BB2"/>
    <w:rsid w:val="00FF40F2"/>
    <w:rsid w:val="00FF4536"/>
    <w:rsid w:val="00FF4DA4"/>
    <w:rsid w:val="00FF59F0"/>
    <w:rsid w:val="00FF5FE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C33191"/>
  <w15:docId w15:val="{A826E4D8-FE19-4F3A-A460-4C568E5B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aliases w:val="recommendation heading"/>
    <w:basedOn w:val="Normal"/>
    <w:next w:val="Normal"/>
    <w:link w:val="Heading2Char"/>
    <w:uiPriority w:val="9"/>
    <w:unhideWhenUsed/>
    <w:qFormat/>
    <w:rsid w:val="00393890"/>
    <w:pPr>
      <w:keepNext/>
      <w:keepLines/>
      <w:spacing w:before="240" w:after="240" w:line="240" w:lineRule="auto"/>
      <w:outlineLvl w:val="1"/>
    </w:pPr>
    <w:rPr>
      <w:rFonts w:ascii="Calibri" w:eastAsiaTheme="majorEastAsia" w:hAnsi="Calibri" w:cstheme="majorBidi"/>
      <w:b/>
      <w:bCs/>
      <w:color w:val="00A3DB"/>
      <w:sz w:val="26"/>
      <w:szCs w:val="26"/>
    </w:rPr>
  </w:style>
  <w:style w:type="paragraph" w:styleId="Heading3">
    <w:name w:val="heading 3"/>
    <w:aliases w:val="pic heading"/>
    <w:basedOn w:val="Normal"/>
    <w:next w:val="Normal"/>
    <w:link w:val="Heading3Char"/>
    <w:uiPriority w:val="9"/>
    <w:unhideWhenUsed/>
    <w:qFormat/>
    <w:rsid w:val="00825022"/>
    <w:pPr>
      <w:keepNext/>
      <w:keepLines/>
      <w:spacing w:before="200" w:after="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C47625"/>
    <w:pPr>
      <w:keepNext/>
      <w:keepLines/>
      <w:spacing w:before="40" w:after="120"/>
      <w:outlineLvl w:val="3"/>
    </w:pPr>
    <w:rPr>
      <w:rFonts w:ascii="Calibri" w:eastAsiaTheme="majorEastAsia" w:hAnsi="Calibri" w:cstheme="majorBidi"/>
      <w:b/>
      <w:i/>
      <w:iCs/>
      <w:color w:val="00A3D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80BAB"/>
    <w:pPr>
      <w:spacing w:after="120"/>
      <w:ind w:left="720"/>
      <w:contextualSpacing/>
    </w:pPr>
  </w:style>
  <w:style w:type="table" w:styleId="ColorfulList">
    <w:name w:val="Colorful List"/>
    <w:basedOn w:val="TableNormal"/>
    <w:uiPriority w:val="72"/>
    <w:rsid w:val="00E31ED2"/>
    <w:pPr>
      <w:spacing w:after="0" w:line="240" w:lineRule="auto"/>
    </w:pPr>
    <w:rPr>
      <w:rFonts w:ascii="Calibri" w:eastAsia="Calibri" w:hAnsi="Calibri" w:cs="Times New Roman"/>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2Char">
    <w:name w:val="Heading 2 Char"/>
    <w:aliases w:val="recommendation heading Char"/>
    <w:basedOn w:val="DefaultParagraphFont"/>
    <w:link w:val="Heading2"/>
    <w:uiPriority w:val="9"/>
    <w:rsid w:val="00393890"/>
    <w:rPr>
      <w:rFonts w:ascii="Calibri" w:eastAsiaTheme="majorEastAsia" w:hAnsi="Calibri" w:cstheme="majorBidi"/>
      <w:b/>
      <w:bCs/>
      <w:color w:val="00A3DB"/>
      <w:sz w:val="26"/>
      <w:szCs w:val="26"/>
    </w:rPr>
  </w:style>
  <w:style w:type="character" w:customStyle="1" w:styleId="Heading3Char">
    <w:name w:val="Heading 3 Char"/>
    <w:aliases w:val="pic heading Char"/>
    <w:basedOn w:val="DefaultParagraphFont"/>
    <w:link w:val="Heading3"/>
    <w:uiPriority w:val="9"/>
    <w:rsid w:val="00825022"/>
    <w:rPr>
      <w:rFonts w:eastAsiaTheme="majorEastAsia" w:cstheme="majorBidi"/>
      <w:b/>
      <w:bCs/>
      <w:color w:val="000000" w:themeColor="text1"/>
    </w:rPr>
  </w:style>
  <w:style w:type="character" w:styleId="Strong">
    <w:name w:val="Strong"/>
    <w:aliases w:val="EPR Question"/>
    <w:basedOn w:val="DefaultParagraphFont"/>
    <w:uiPriority w:val="22"/>
    <w:qFormat/>
    <w:rsid w:val="00E31ED2"/>
    <w:rPr>
      <w:b/>
      <w:bCs/>
      <w:i/>
      <w:sz w:val="20"/>
      <w:szCs w:val="20"/>
    </w:rPr>
  </w:style>
  <w:style w:type="table" w:customStyle="1" w:styleId="GridTable4-Accent31">
    <w:name w:val="Grid Table 4 - Accent 31"/>
    <w:basedOn w:val="TableNormal"/>
    <w:uiPriority w:val="49"/>
    <w:rsid w:val="00E31ED2"/>
    <w:pPr>
      <w:spacing w:after="0" w:line="240" w:lineRule="auto"/>
    </w:pPr>
    <w:rPr>
      <w:sz w:val="24"/>
      <w:szCs w:val="24"/>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odyText">
    <w:name w:val="Body Text"/>
    <w:basedOn w:val="Normal"/>
    <w:link w:val="BodyTextChar"/>
    <w:uiPriority w:val="99"/>
    <w:unhideWhenUsed/>
    <w:rsid w:val="00E31ED2"/>
    <w:pPr>
      <w:spacing w:after="120" w:line="240" w:lineRule="auto"/>
    </w:pPr>
    <w:rPr>
      <w:rFonts w:ascii="Arial" w:eastAsia="Calibri" w:hAnsi="Arial" w:cs="Times New Roman"/>
    </w:rPr>
  </w:style>
  <w:style w:type="character" w:customStyle="1" w:styleId="BodyTextChar">
    <w:name w:val="Body Text Char"/>
    <w:basedOn w:val="DefaultParagraphFont"/>
    <w:link w:val="BodyText"/>
    <w:uiPriority w:val="99"/>
    <w:rsid w:val="00E31ED2"/>
    <w:rPr>
      <w:rFonts w:ascii="Arial" w:eastAsia="Calibri" w:hAnsi="Arial" w:cs="Times New Roman"/>
    </w:rPr>
  </w:style>
  <w:style w:type="paragraph" w:customStyle="1" w:styleId="Documenttitle">
    <w:name w:val="Document title"/>
    <w:basedOn w:val="Normal"/>
    <w:uiPriority w:val="99"/>
    <w:rsid w:val="00EF7170"/>
    <w:pPr>
      <w:autoSpaceDE w:val="0"/>
      <w:autoSpaceDN w:val="0"/>
      <w:adjustRightInd w:val="0"/>
      <w:spacing w:after="320" w:line="800" w:lineRule="atLeast"/>
      <w:textAlignment w:val="center"/>
    </w:pPr>
    <w:rPr>
      <w:rFonts w:ascii="Arial" w:eastAsia="Calibri" w:hAnsi="Arial" w:cs="Calibri"/>
      <w:b/>
      <w:bCs/>
      <w:color w:val="595959"/>
      <w:sz w:val="68"/>
      <w:szCs w:val="68"/>
      <w:lang w:val="en-US"/>
    </w:rPr>
  </w:style>
  <w:style w:type="paragraph" w:customStyle="1" w:styleId="Documentsubtitle">
    <w:name w:val="Document subtitle"/>
    <w:basedOn w:val="Normal"/>
    <w:uiPriority w:val="99"/>
    <w:rsid w:val="00EF7170"/>
    <w:pPr>
      <w:pBdr>
        <w:bottom w:val="single" w:sz="8" w:space="24" w:color="595959"/>
      </w:pBdr>
      <w:autoSpaceDE w:val="0"/>
      <w:autoSpaceDN w:val="0"/>
      <w:adjustRightInd w:val="0"/>
      <w:spacing w:after="0" w:line="440" w:lineRule="atLeast"/>
      <w:textAlignment w:val="center"/>
    </w:pPr>
    <w:rPr>
      <w:rFonts w:ascii="Arial" w:eastAsia="Calibri" w:hAnsi="Arial" w:cs="Calibri"/>
      <w:b/>
      <w:bCs/>
      <w:sz w:val="36"/>
      <w:szCs w:val="36"/>
      <w:lang w:val="en-US"/>
    </w:rPr>
  </w:style>
  <w:style w:type="paragraph" w:styleId="BalloonText">
    <w:name w:val="Balloon Text"/>
    <w:basedOn w:val="Normal"/>
    <w:link w:val="BalloonTextChar"/>
    <w:uiPriority w:val="99"/>
    <w:semiHidden/>
    <w:unhideWhenUsed/>
    <w:rsid w:val="00957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29B"/>
    <w:rPr>
      <w:rFonts w:ascii="Tahoma" w:hAnsi="Tahoma" w:cs="Tahoma"/>
      <w:sz w:val="16"/>
      <w:szCs w:val="16"/>
    </w:rPr>
  </w:style>
  <w:style w:type="character" w:styleId="Hyperlink">
    <w:name w:val="Hyperlink"/>
    <w:basedOn w:val="DefaultParagraphFont"/>
    <w:uiPriority w:val="99"/>
    <w:unhideWhenUsed/>
    <w:rsid w:val="00127A16"/>
    <w:rPr>
      <w:color w:val="0000FF" w:themeColor="hyperlink"/>
      <w:u w:val="single"/>
    </w:rPr>
  </w:style>
  <w:style w:type="character" w:customStyle="1" w:styleId="UnresolvedMention1">
    <w:name w:val="Unresolved Mention1"/>
    <w:basedOn w:val="DefaultParagraphFont"/>
    <w:uiPriority w:val="99"/>
    <w:semiHidden/>
    <w:unhideWhenUsed/>
    <w:rsid w:val="00127A16"/>
    <w:rPr>
      <w:color w:val="605E5C"/>
      <w:shd w:val="clear" w:color="auto" w:fill="E1DFDD"/>
    </w:rPr>
  </w:style>
  <w:style w:type="character" w:styleId="FollowedHyperlink">
    <w:name w:val="FollowedHyperlink"/>
    <w:basedOn w:val="DefaultParagraphFont"/>
    <w:uiPriority w:val="99"/>
    <w:semiHidden/>
    <w:unhideWhenUsed/>
    <w:rsid w:val="00226100"/>
    <w:rPr>
      <w:color w:val="800080" w:themeColor="followedHyperlink"/>
      <w:u w:val="single"/>
    </w:rPr>
  </w:style>
  <w:style w:type="character" w:customStyle="1" w:styleId="ilfuvd">
    <w:name w:val="ilfuvd"/>
    <w:basedOn w:val="DefaultParagraphFont"/>
    <w:rsid w:val="0053114C"/>
  </w:style>
  <w:style w:type="paragraph" w:styleId="NormalWeb">
    <w:name w:val="Normal (Web)"/>
    <w:basedOn w:val="Normal"/>
    <w:uiPriority w:val="99"/>
    <w:semiHidden/>
    <w:unhideWhenUsed/>
    <w:rsid w:val="002A1A9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C60E51"/>
    <w:rPr>
      <w:sz w:val="16"/>
      <w:szCs w:val="16"/>
    </w:rPr>
  </w:style>
  <w:style w:type="paragraph" w:styleId="CommentText">
    <w:name w:val="annotation text"/>
    <w:basedOn w:val="Normal"/>
    <w:link w:val="CommentTextChar"/>
    <w:uiPriority w:val="99"/>
    <w:semiHidden/>
    <w:unhideWhenUsed/>
    <w:rsid w:val="00C60E51"/>
    <w:pPr>
      <w:spacing w:line="240" w:lineRule="auto"/>
    </w:pPr>
    <w:rPr>
      <w:sz w:val="20"/>
      <w:szCs w:val="20"/>
    </w:rPr>
  </w:style>
  <w:style w:type="character" w:customStyle="1" w:styleId="CommentTextChar">
    <w:name w:val="Comment Text Char"/>
    <w:basedOn w:val="DefaultParagraphFont"/>
    <w:link w:val="CommentText"/>
    <w:uiPriority w:val="99"/>
    <w:semiHidden/>
    <w:rsid w:val="00C60E51"/>
    <w:rPr>
      <w:sz w:val="20"/>
      <w:szCs w:val="20"/>
    </w:rPr>
  </w:style>
  <w:style w:type="paragraph" w:styleId="CommentSubject">
    <w:name w:val="annotation subject"/>
    <w:basedOn w:val="CommentText"/>
    <w:next w:val="CommentText"/>
    <w:link w:val="CommentSubjectChar"/>
    <w:uiPriority w:val="99"/>
    <w:semiHidden/>
    <w:unhideWhenUsed/>
    <w:rsid w:val="00C60E51"/>
    <w:rPr>
      <w:b/>
      <w:bCs/>
    </w:rPr>
  </w:style>
  <w:style w:type="character" w:customStyle="1" w:styleId="CommentSubjectChar">
    <w:name w:val="Comment Subject Char"/>
    <w:basedOn w:val="CommentTextChar"/>
    <w:link w:val="CommentSubject"/>
    <w:uiPriority w:val="99"/>
    <w:semiHidden/>
    <w:rsid w:val="00C60E51"/>
    <w:rPr>
      <w:b/>
      <w:bCs/>
      <w:sz w:val="20"/>
      <w:szCs w:val="20"/>
    </w:rPr>
  </w:style>
  <w:style w:type="paragraph" w:styleId="FootnoteText">
    <w:name w:val="footnote text"/>
    <w:basedOn w:val="Normal"/>
    <w:link w:val="FootnoteTextChar"/>
    <w:uiPriority w:val="99"/>
    <w:semiHidden/>
    <w:unhideWhenUsed/>
    <w:rsid w:val="007429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906"/>
    <w:rPr>
      <w:sz w:val="20"/>
      <w:szCs w:val="20"/>
    </w:rPr>
  </w:style>
  <w:style w:type="character" w:styleId="FootnoteReference">
    <w:name w:val="footnote reference"/>
    <w:basedOn w:val="DefaultParagraphFont"/>
    <w:uiPriority w:val="99"/>
    <w:semiHidden/>
    <w:unhideWhenUsed/>
    <w:rsid w:val="00742906"/>
    <w:rPr>
      <w:vertAlign w:val="superscript"/>
    </w:rPr>
  </w:style>
  <w:style w:type="character" w:customStyle="1" w:styleId="ListParagraphChar">
    <w:name w:val="List Paragraph Char"/>
    <w:basedOn w:val="DefaultParagraphFont"/>
    <w:link w:val="ListParagraph"/>
    <w:uiPriority w:val="34"/>
    <w:rsid w:val="00680BAB"/>
  </w:style>
  <w:style w:type="paragraph" w:customStyle="1" w:styleId="paragraph">
    <w:name w:val="paragraph"/>
    <w:basedOn w:val="Normal"/>
    <w:rsid w:val="002658F1"/>
    <w:pPr>
      <w:spacing w:after="0" w:line="240" w:lineRule="auto"/>
    </w:pPr>
    <w:rPr>
      <w:rFonts w:ascii="Times New Roman" w:eastAsia="Times New Roman" w:hAnsi="Times New Roman" w:cs="Times New Roman"/>
      <w:sz w:val="24"/>
      <w:szCs w:val="24"/>
      <w:lang w:eastAsia="en-NZ"/>
    </w:rPr>
  </w:style>
  <w:style w:type="character" w:customStyle="1" w:styleId="contextualspellingandgrammarerror">
    <w:name w:val="contextualspellingandgrammarerror"/>
    <w:basedOn w:val="DefaultParagraphFont"/>
    <w:rsid w:val="002658F1"/>
  </w:style>
  <w:style w:type="character" w:customStyle="1" w:styleId="normaltextrun1">
    <w:name w:val="normaltextrun1"/>
    <w:basedOn w:val="DefaultParagraphFont"/>
    <w:rsid w:val="002658F1"/>
  </w:style>
  <w:style w:type="character" w:customStyle="1" w:styleId="eop">
    <w:name w:val="eop"/>
    <w:basedOn w:val="DefaultParagraphFont"/>
    <w:rsid w:val="002658F1"/>
  </w:style>
  <w:style w:type="paragraph" w:styleId="Header">
    <w:name w:val="header"/>
    <w:basedOn w:val="Normal"/>
    <w:link w:val="HeaderChar"/>
    <w:uiPriority w:val="99"/>
    <w:unhideWhenUsed/>
    <w:rsid w:val="002B2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A1E"/>
  </w:style>
  <w:style w:type="paragraph" w:styleId="Footer">
    <w:name w:val="footer"/>
    <w:basedOn w:val="Normal"/>
    <w:link w:val="FooterChar"/>
    <w:uiPriority w:val="99"/>
    <w:unhideWhenUsed/>
    <w:rsid w:val="002B2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A1E"/>
  </w:style>
  <w:style w:type="character" w:customStyle="1" w:styleId="Heading4Char">
    <w:name w:val="Heading 4 Char"/>
    <w:basedOn w:val="DefaultParagraphFont"/>
    <w:link w:val="Heading4"/>
    <w:uiPriority w:val="9"/>
    <w:rsid w:val="00C47625"/>
    <w:rPr>
      <w:rFonts w:ascii="Calibri" w:eastAsiaTheme="majorEastAsia" w:hAnsi="Calibri" w:cstheme="majorBidi"/>
      <w:b/>
      <w:i/>
      <w:iCs/>
      <w:color w:val="00A3DB"/>
      <w:sz w:val="24"/>
    </w:rPr>
  </w:style>
  <w:style w:type="paragraph" w:customStyle="1" w:styleId="numberbullet">
    <w:name w:val="number bullet"/>
    <w:basedOn w:val="ListParagraph"/>
    <w:qFormat/>
    <w:rsid w:val="001D7428"/>
    <w:pPr>
      <w:numPr>
        <w:numId w:val="1"/>
      </w:numPr>
      <w:tabs>
        <w:tab w:val="left" w:pos="1134"/>
      </w:tabs>
      <w:ind w:right="-285"/>
      <w:contextualSpacing w:val="0"/>
    </w:pPr>
    <w:rPr>
      <w:rFonts w:cstheme="minorHAnsi"/>
      <w:b/>
    </w:rPr>
  </w:style>
  <w:style w:type="paragraph" w:styleId="EndnoteText">
    <w:name w:val="endnote text"/>
    <w:basedOn w:val="Normal"/>
    <w:link w:val="EndnoteTextChar"/>
    <w:uiPriority w:val="99"/>
    <w:semiHidden/>
    <w:unhideWhenUsed/>
    <w:rsid w:val="00506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6824"/>
    <w:rPr>
      <w:sz w:val="20"/>
      <w:szCs w:val="20"/>
    </w:rPr>
  </w:style>
  <w:style w:type="character" w:styleId="EndnoteReference">
    <w:name w:val="endnote reference"/>
    <w:basedOn w:val="DefaultParagraphFont"/>
    <w:uiPriority w:val="99"/>
    <w:semiHidden/>
    <w:unhideWhenUsed/>
    <w:rsid w:val="00506824"/>
    <w:rPr>
      <w:vertAlign w:val="superscript"/>
    </w:rPr>
  </w:style>
  <w:style w:type="character" w:styleId="UnresolvedMention">
    <w:name w:val="Unresolved Mention"/>
    <w:basedOn w:val="DefaultParagraphFont"/>
    <w:uiPriority w:val="99"/>
    <w:rsid w:val="00506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79596">
      <w:bodyDiv w:val="1"/>
      <w:marLeft w:val="0"/>
      <w:marRight w:val="0"/>
      <w:marTop w:val="0"/>
      <w:marBottom w:val="0"/>
      <w:divBdr>
        <w:top w:val="none" w:sz="0" w:space="0" w:color="auto"/>
        <w:left w:val="none" w:sz="0" w:space="0" w:color="auto"/>
        <w:bottom w:val="none" w:sz="0" w:space="0" w:color="auto"/>
        <w:right w:val="none" w:sz="0" w:space="0" w:color="auto"/>
      </w:divBdr>
    </w:div>
    <w:div w:id="431828735">
      <w:bodyDiv w:val="1"/>
      <w:marLeft w:val="0"/>
      <w:marRight w:val="0"/>
      <w:marTop w:val="0"/>
      <w:marBottom w:val="0"/>
      <w:divBdr>
        <w:top w:val="none" w:sz="0" w:space="0" w:color="auto"/>
        <w:left w:val="none" w:sz="0" w:space="0" w:color="auto"/>
        <w:bottom w:val="none" w:sz="0" w:space="0" w:color="auto"/>
        <w:right w:val="none" w:sz="0" w:space="0" w:color="auto"/>
      </w:divBdr>
    </w:div>
    <w:div w:id="673728252">
      <w:bodyDiv w:val="1"/>
      <w:marLeft w:val="0"/>
      <w:marRight w:val="0"/>
      <w:marTop w:val="0"/>
      <w:marBottom w:val="0"/>
      <w:divBdr>
        <w:top w:val="none" w:sz="0" w:space="0" w:color="auto"/>
        <w:left w:val="none" w:sz="0" w:space="0" w:color="auto"/>
        <w:bottom w:val="none" w:sz="0" w:space="0" w:color="auto"/>
        <w:right w:val="none" w:sz="0" w:space="0" w:color="auto"/>
      </w:divBdr>
      <w:divsChild>
        <w:div w:id="29036466">
          <w:marLeft w:val="0"/>
          <w:marRight w:val="0"/>
          <w:marTop w:val="0"/>
          <w:marBottom w:val="0"/>
          <w:divBdr>
            <w:top w:val="none" w:sz="0" w:space="0" w:color="auto"/>
            <w:left w:val="none" w:sz="0" w:space="0" w:color="auto"/>
            <w:bottom w:val="none" w:sz="0" w:space="0" w:color="auto"/>
            <w:right w:val="none" w:sz="0" w:space="0" w:color="auto"/>
          </w:divBdr>
        </w:div>
        <w:div w:id="31610724">
          <w:marLeft w:val="0"/>
          <w:marRight w:val="0"/>
          <w:marTop w:val="0"/>
          <w:marBottom w:val="0"/>
          <w:divBdr>
            <w:top w:val="none" w:sz="0" w:space="0" w:color="auto"/>
            <w:left w:val="none" w:sz="0" w:space="0" w:color="auto"/>
            <w:bottom w:val="none" w:sz="0" w:space="0" w:color="auto"/>
            <w:right w:val="none" w:sz="0" w:space="0" w:color="auto"/>
          </w:divBdr>
        </w:div>
        <w:div w:id="50932098">
          <w:marLeft w:val="0"/>
          <w:marRight w:val="0"/>
          <w:marTop w:val="0"/>
          <w:marBottom w:val="0"/>
          <w:divBdr>
            <w:top w:val="none" w:sz="0" w:space="0" w:color="auto"/>
            <w:left w:val="none" w:sz="0" w:space="0" w:color="auto"/>
            <w:bottom w:val="none" w:sz="0" w:space="0" w:color="auto"/>
            <w:right w:val="none" w:sz="0" w:space="0" w:color="auto"/>
          </w:divBdr>
        </w:div>
        <w:div w:id="104496908">
          <w:marLeft w:val="0"/>
          <w:marRight w:val="0"/>
          <w:marTop w:val="0"/>
          <w:marBottom w:val="0"/>
          <w:divBdr>
            <w:top w:val="none" w:sz="0" w:space="0" w:color="auto"/>
            <w:left w:val="none" w:sz="0" w:space="0" w:color="auto"/>
            <w:bottom w:val="none" w:sz="0" w:space="0" w:color="auto"/>
            <w:right w:val="none" w:sz="0" w:space="0" w:color="auto"/>
          </w:divBdr>
        </w:div>
        <w:div w:id="179442442">
          <w:marLeft w:val="0"/>
          <w:marRight w:val="0"/>
          <w:marTop w:val="0"/>
          <w:marBottom w:val="0"/>
          <w:divBdr>
            <w:top w:val="none" w:sz="0" w:space="0" w:color="auto"/>
            <w:left w:val="none" w:sz="0" w:space="0" w:color="auto"/>
            <w:bottom w:val="none" w:sz="0" w:space="0" w:color="auto"/>
            <w:right w:val="none" w:sz="0" w:space="0" w:color="auto"/>
          </w:divBdr>
        </w:div>
        <w:div w:id="316149654">
          <w:marLeft w:val="0"/>
          <w:marRight w:val="0"/>
          <w:marTop w:val="0"/>
          <w:marBottom w:val="0"/>
          <w:divBdr>
            <w:top w:val="none" w:sz="0" w:space="0" w:color="auto"/>
            <w:left w:val="none" w:sz="0" w:space="0" w:color="auto"/>
            <w:bottom w:val="none" w:sz="0" w:space="0" w:color="auto"/>
            <w:right w:val="none" w:sz="0" w:space="0" w:color="auto"/>
          </w:divBdr>
        </w:div>
        <w:div w:id="316812117">
          <w:marLeft w:val="0"/>
          <w:marRight w:val="0"/>
          <w:marTop w:val="0"/>
          <w:marBottom w:val="0"/>
          <w:divBdr>
            <w:top w:val="none" w:sz="0" w:space="0" w:color="auto"/>
            <w:left w:val="none" w:sz="0" w:space="0" w:color="auto"/>
            <w:bottom w:val="none" w:sz="0" w:space="0" w:color="auto"/>
            <w:right w:val="none" w:sz="0" w:space="0" w:color="auto"/>
          </w:divBdr>
        </w:div>
        <w:div w:id="499540798">
          <w:marLeft w:val="0"/>
          <w:marRight w:val="0"/>
          <w:marTop w:val="0"/>
          <w:marBottom w:val="0"/>
          <w:divBdr>
            <w:top w:val="none" w:sz="0" w:space="0" w:color="auto"/>
            <w:left w:val="none" w:sz="0" w:space="0" w:color="auto"/>
            <w:bottom w:val="none" w:sz="0" w:space="0" w:color="auto"/>
            <w:right w:val="none" w:sz="0" w:space="0" w:color="auto"/>
          </w:divBdr>
        </w:div>
        <w:div w:id="510217512">
          <w:marLeft w:val="0"/>
          <w:marRight w:val="0"/>
          <w:marTop w:val="0"/>
          <w:marBottom w:val="0"/>
          <w:divBdr>
            <w:top w:val="none" w:sz="0" w:space="0" w:color="auto"/>
            <w:left w:val="none" w:sz="0" w:space="0" w:color="auto"/>
            <w:bottom w:val="none" w:sz="0" w:space="0" w:color="auto"/>
            <w:right w:val="none" w:sz="0" w:space="0" w:color="auto"/>
          </w:divBdr>
        </w:div>
        <w:div w:id="515340310">
          <w:marLeft w:val="0"/>
          <w:marRight w:val="0"/>
          <w:marTop w:val="0"/>
          <w:marBottom w:val="0"/>
          <w:divBdr>
            <w:top w:val="none" w:sz="0" w:space="0" w:color="auto"/>
            <w:left w:val="none" w:sz="0" w:space="0" w:color="auto"/>
            <w:bottom w:val="none" w:sz="0" w:space="0" w:color="auto"/>
            <w:right w:val="none" w:sz="0" w:space="0" w:color="auto"/>
          </w:divBdr>
        </w:div>
        <w:div w:id="541213932">
          <w:marLeft w:val="0"/>
          <w:marRight w:val="0"/>
          <w:marTop w:val="0"/>
          <w:marBottom w:val="0"/>
          <w:divBdr>
            <w:top w:val="none" w:sz="0" w:space="0" w:color="auto"/>
            <w:left w:val="none" w:sz="0" w:space="0" w:color="auto"/>
            <w:bottom w:val="none" w:sz="0" w:space="0" w:color="auto"/>
            <w:right w:val="none" w:sz="0" w:space="0" w:color="auto"/>
          </w:divBdr>
        </w:div>
        <w:div w:id="543710642">
          <w:marLeft w:val="0"/>
          <w:marRight w:val="0"/>
          <w:marTop w:val="0"/>
          <w:marBottom w:val="0"/>
          <w:divBdr>
            <w:top w:val="none" w:sz="0" w:space="0" w:color="auto"/>
            <w:left w:val="none" w:sz="0" w:space="0" w:color="auto"/>
            <w:bottom w:val="none" w:sz="0" w:space="0" w:color="auto"/>
            <w:right w:val="none" w:sz="0" w:space="0" w:color="auto"/>
          </w:divBdr>
        </w:div>
        <w:div w:id="558982555">
          <w:marLeft w:val="0"/>
          <w:marRight w:val="0"/>
          <w:marTop w:val="0"/>
          <w:marBottom w:val="0"/>
          <w:divBdr>
            <w:top w:val="none" w:sz="0" w:space="0" w:color="auto"/>
            <w:left w:val="none" w:sz="0" w:space="0" w:color="auto"/>
            <w:bottom w:val="none" w:sz="0" w:space="0" w:color="auto"/>
            <w:right w:val="none" w:sz="0" w:space="0" w:color="auto"/>
          </w:divBdr>
        </w:div>
        <w:div w:id="587275004">
          <w:marLeft w:val="0"/>
          <w:marRight w:val="0"/>
          <w:marTop w:val="0"/>
          <w:marBottom w:val="0"/>
          <w:divBdr>
            <w:top w:val="none" w:sz="0" w:space="0" w:color="auto"/>
            <w:left w:val="none" w:sz="0" w:space="0" w:color="auto"/>
            <w:bottom w:val="none" w:sz="0" w:space="0" w:color="auto"/>
            <w:right w:val="none" w:sz="0" w:space="0" w:color="auto"/>
          </w:divBdr>
        </w:div>
        <w:div w:id="616059840">
          <w:marLeft w:val="0"/>
          <w:marRight w:val="0"/>
          <w:marTop w:val="0"/>
          <w:marBottom w:val="0"/>
          <w:divBdr>
            <w:top w:val="none" w:sz="0" w:space="0" w:color="auto"/>
            <w:left w:val="none" w:sz="0" w:space="0" w:color="auto"/>
            <w:bottom w:val="none" w:sz="0" w:space="0" w:color="auto"/>
            <w:right w:val="none" w:sz="0" w:space="0" w:color="auto"/>
          </w:divBdr>
        </w:div>
        <w:div w:id="766117493">
          <w:marLeft w:val="0"/>
          <w:marRight w:val="0"/>
          <w:marTop w:val="0"/>
          <w:marBottom w:val="0"/>
          <w:divBdr>
            <w:top w:val="none" w:sz="0" w:space="0" w:color="auto"/>
            <w:left w:val="none" w:sz="0" w:space="0" w:color="auto"/>
            <w:bottom w:val="none" w:sz="0" w:space="0" w:color="auto"/>
            <w:right w:val="none" w:sz="0" w:space="0" w:color="auto"/>
          </w:divBdr>
        </w:div>
        <w:div w:id="800391583">
          <w:marLeft w:val="0"/>
          <w:marRight w:val="0"/>
          <w:marTop w:val="0"/>
          <w:marBottom w:val="0"/>
          <w:divBdr>
            <w:top w:val="none" w:sz="0" w:space="0" w:color="auto"/>
            <w:left w:val="none" w:sz="0" w:space="0" w:color="auto"/>
            <w:bottom w:val="none" w:sz="0" w:space="0" w:color="auto"/>
            <w:right w:val="none" w:sz="0" w:space="0" w:color="auto"/>
          </w:divBdr>
        </w:div>
        <w:div w:id="819469572">
          <w:marLeft w:val="0"/>
          <w:marRight w:val="0"/>
          <w:marTop w:val="0"/>
          <w:marBottom w:val="0"/>
          <w:divBdr>
            <w:top w:val="none" w:sz="0" w:space="0" w:color="auto"/>
            <w:left w:val="none" w:sz="0" w:space="0" w:color="auto"/>
            <w:bottom w:val="none" w:sz="0" w:space="0" w:color="auto"/>
            <w:right w:val="none" w:sz="0" w:space="0" w:color="auto"/>
          </w:divBdr>
        </w:div>
        <w:div w:id="820658409">
          <w:marLeft w:val="0"/>
          <w:marRight w:val="0"/>
          <w:marTop w:val="0"/>
          <w:marBottom w:val="0"/>
          <w:divBdr>
            <w:top w:val="none" w:sz="0" w:space="0" w:color="auto"/>
            <w:left w:val="none" w:sz="0" w:space="0" w:color="auto"/>
            <w:bottom w:val="none" w:sz="0" w:space="0" w:color="auto"/>
            <w:right w:val="none" w:sz="0" w:space="0" w:color="auto"/>
          </w:divBdr>
        </w:div>
        <w:div w:id="839583574">
          <w:marLeft w:val="0"/>
          <w:marRight w:val="0"/>
          <w:marTop w:val="0"/>
          <w:marBottom w:val="0"/>
          <w:divBdr>
            <w:top w:val="none" w:sz="0" w:space="0" w:color="auto"/>
            <w:left w:val="none" w:sz="0" w:space="0" w:color="auto"/>
            <w:bottom w:val="none" w:sz="0" w:space="0" w:color="auto"/>
            <w:right w:val="none" w:sz="0" w:space="0" w:color="auto"/>
          </w:divBdr>
        </w:div>
        <w:div w:id="860827254">
          <w:marLeft w:val="0"/>
          <w:marRight w:val="0"/>
          <w:marTop w:val="0"/>
          <w:marBottom w:val="0"/>
          <w:divBdr>
            <w:top w:val="none" w:sz="0" w:space="0" w:color="auto"/>
            <w:left w:val="none" w:sz="0" w:space="0" w:color="auto"/>
            <w:bottom w:val="none" w:sz="0" w:space="0" w:color="auto"/>
            <w:right w:val="none" w:sz="0" w:space="0" w:color="auto"/>
          </w:divBdr>
        </w:div>
        <w:div w:id="862549751">
          <w:marLeft w:val="0"/>
          <w:marRight w:val="0"/>
          <w:marTop w:val="0"/>
          <w:marBottom w:val="0"/>
          <w:divBdr>
            <w:top w:val="none" w:sz="0" w:space="0" w:color="auto"/>
            <w:left w:val="none" w:sz="0" w:space="0" w:color="auto"/>
            <w:bottom w:val="none" w:sz="0" w:space="0" w:color="auto"/>
            <w:right w:val="none" w:sz="0" w:space="0" w:color="auto"/>
          </w:divBdr>
        </w:div>
        <w:div w:id="960841166">
          <w:marLeft w:val="0"/>
          <w:marRight w:val="0"/>
          <w:marTop w:val="0"/>
          <w:marBottom w:val="0"/>
          <w:divBdr>
            <w:top w:val="none" w:sz="0" w:space="0" w:color="auto"/>
            <w:left w:val="none" w:sz="0" w:space="0" w:color="auto"/>
            <w:bottom w:val="none" w:sz="0" w:space="0" w:color="auto"/>
            <w:right w:val="none" w:sz="0" w:space="0" w:color="auto"/>
          </w:divBdr>
        </w:div>
        <w:div w:id="1022249294">
          <w:marLeft w:val="0"/>
          <w:marRight w:val="0"/>
          <w:marTop w:val="0"/>
          <w:marBottom w:val="0"/>
          <w:divBdr>
            <w:top w:val="none" w:sz="0" w:space="0" w:color="auto"/>
            <w:left w:val="none" w:sz="0" w:space="0" w:color="auto"/>
            <w:bottom w:val="none" w:sz="0" w:space="0" w:color="auto"/>
            <w:right w:val="none" w:sz="0" w:space="0" w:color="auto"/>
          </w:divBdr>
        </w:div>
        <w:div w:id="1298561238">
          <w:marLeft w:val="0"/>
          <w:marRight w:val="0"/>
          <w:marTop w:val="0"/>
          <w:marBottom w:val="0"/>
          <w:divBdr>
            <w:top w:val="none" w:sz="0" w:space="0" w:color="auto"/>
            <w:left w:val="none" w:sz="0" w:space="0" w:color="auto"/>
            <w:bottom w:val="none" w:sz="0" w:space="0" w:color="auto"/>
            <w:right w:val="none" w:sz="0" w:space="0" w:color="auto"/>
          </w:divBdr>
        </w:div>
        <w:div w:id="1460759413">
          <w:marLeft w:val="0"/>
          <w:marRight w:val="0"/>
          <w:marTop w:val="0"/>
          <w:marBottom w:val="0"/>
          <w:divBdr>
            <w:top w:val="none" w:sz="0" w:space="0" w:color="auto"/>
            <w:left w:val="none" w:sz="0" w:space="0" w:color="auto"/>
            <w:bottom w:val="none" w:sz="0" w:space="0" w:color="auto"/>
            <w:right w:val="none" w:sz="0" w:space="0" w:color="auto"/>
          </w:divBdr>
        </w:div>
        <w:div w:id="1463158709">
          <w:marLeft w:val="0"/>
          <w:marRight w:val="0"/>
          <w:marTop w:val="0"/>
          <w:marBottom w:val="0"/>
          <w:divBdr>
            <w:top w:val="none" w:sz="0" w:space="0" w:color="auto"/>
            <w:left w:val="none" w:sz="0" w:space="0" w:color="auto"/>
            <w:bottom w:val="none" w:sz="0" w:space="0" w:color="auto"/>
            <w:right w:val="none" w:sz="0" w:space="0" w:color="auto"/>
          </w:divBdr>
        </w:div>
        <w:div w:id="1475289768">
          <w:marLeft w:val="0"/>
          <w:marRight w:val="0"/>
          <w:marTop w:val="0"/>
          <w:marBottom w:val="0"/>
          <w:divBdr>
            <w:top w:val="none" w:sz="0" w:space="0" w:color="auto"/>
            <w:left w:val="none" w:sz="0" w:space="0" w:color="auto"/>
            <w:bottom w:val="none" w:sz="0" w:space="0" w:color="auto"/>
            <w:right w:val="none" w:sz="0" w:space="0" w:color="auto"/>
          </w:divBdr>
        </w:div>
        <w:div w:id="1522278826">
          <w:marLeft w:val="0"/>
          <w:marRight w:val="0"/>
          <w:marTop w:val="0"/>
          <w:marBottom w:val="0"/>
          <w:divBdr>
            <w:top w:val="none" w:sz="0" w:space="0" w:color="auto"/>
            <w:left w:val="none" w:sz="0" w:space="0" w:color="auto"/>
            <w:bottom w:val="none" w:sz="0" w:space="0" w:color="auto"/>
            <w:right w:val="none" w:sz="0" w:space="0" w:color="auto"/>
          </w:divBdr>
        </w:div>
        <w:div w:id="1742868000">
          <w:marLeft w:val="0"/>
          <w:marRight w:val="0"/>
          <w:marTop w:val="0"/>
          <w:marBottom w:val="0"/>
          <w:divBdr>
            <w:top w:val="none" w:sz="0" w:space="0" w:color="auto"/>
            <w:left w:val="none" w:sz="0" w:space="0" w:color="auto"/>
            <w:bottom w:val="none" w:sz="0" w:space="0" w:color="auto"/>
            <w:right w:val="none" w:sz="0" w:space="0" w:color="auto"/>
          </w:divBdr>
        </w:div>
        <w:div w:id="1881554760">
          <w:marLeft w:val="0"/>
          <w:marRight w:val="0"/>
          <w:marTop w:val="0"/>
          <w:marBottom w:val="0"/>
          <w:divBdr>
            <w:top w:val="none" w:sz="0" w:space="0" w:color="auto"/>
            <w:left w:val="none" w:sz="0" w:space="0" w:color="auto"/>
            <w:bottom w:val="none" w:sz="0" w:space="0" w:color="auto"/>
            <w:right w:val="none" w:sz="0" w:space="0" w:color="auto"/>
          </w:divBdr>
        </w:div>
        <w:div w:id="1945917319">
          <w:marLeft w:val="0"/>
          <w:marRight w:val="0"/>
          <w:marTop w:val="0"/>
          <w:marBottom w:val="0"/>
          <w:divBdr>
            <w:top w:val="none" w:sz="0" w:space="0" w:color="auto"/>
            <w:left w:val="none" w:sz="0" w:space="0" w:color="auto"/>
            <w:bottom w:val="none" w:sz="0" w:space="0" w:color="auto"/>
            <w:right w:val="none" w:sz="0" w:space="0" w:color="auto"/>
          </w:divBdr>
        </w:div>
        <w:div w:id="1986734925">
          <w:marLeft w:val="0"/>
          <w:marRight w:val="0"/>
          <w:marTop w:val="0"/>
          <w:marBottom w:val="0"/>
          <w:divBdr>
            <w:top w:val="none" w:sz="0" w:space="0" w:color="auto"/>
            <w:left w:val="none" w:sz="0" w:space="0" w:color="auto"/>
            <w:bottom w:val="none" w:sz="0" w:space="0" w:color="auto"/>
            <w:right w:val="none" w:sz="0" w:space="0" w:color="auto"/>
          </w:divBdr>
        </w:div>
        <w:div w:id="2043096111">
          <w:marLeft w:val="0"/>
          <w:marRight w:val="0"/>
          <w:marTop w:val="0"/>
          <w:marBottom w:val="0"/>
          <w:divBdr>
            <w:top w:val="none" w:sz="0" w:space="0" w:color="auto"/>
            <w:left w:val="none" w:sz="0" w:space="0" w:color="auto"/>
            <w:bottom w:val="none" w:sz="0" w:space="0" w:color="auto"/>
            <w:right w:val="none" w:sz="0" w:space="0" w:color="auto"/>
          </w:divBdr>
        </w:div>
        <w:div w:id="2052025326">
          <w:marLeft w:val="0"/>
          <w:marRight w:val="0"/>
          <w:marTop w:val="0"/>
          <w:marBottom w:val="0"/>
          <w:divBdr>
            <w:top w:val="none" w:sz="0" w:space="0" w:color="auto"/>
            <w:left w:val="none" w:sz="0" w:space="0" w:color="auto"/>
            <w:bottom w:val="none" w:sz="0" w:space="0" w:color="auto"/>
            <w:right w:val="none" w:sz="0" w:space="0" w:color="auto"/>
          </w:divBdr>
        </w:div>
        <w:div w:id="2074348976">
          <w:marLeft w:val="0"/>
          <w:marRight w:val="0"/>
          <w:marTop w:val="0"/>
          <w:marBottom w:val="0"/>
          <w:divBdr>
            <w:top w:val="none" w:sz="0" w:space="0" w:color="auto"/>
            <w:left w:val="none" w:sz="0" w:space="0" w:color="auto"/>
            <w:bottom w:val="none" w:sz="0" w:space="0" w:color="auto"/>
            <w:right w:val="none" w:sz="0" w:space="0" w:color="auto"/>
          </w:divBdr>
        </w:div>
        <w:div w:id="2096973883">
          <w:marLeft w:val="0"/>
          <w:marRight w:val="0"/>
          <w:marTop w:val="0"/>
          <w:marBottom w:val="0"/>
          <w:divBdr>
            <w:top w:val="none" w:sz="0" w:space="0" w:color="auto"/>
            <w:left w:val="none" w:sz="0" w:space="0" w:color="auto"/>
            <w:bottom w:val="none" w:sz="0" w:space="0" w:color="auto"/>
            <w:right w:val="none" w:sz="0" w:space="0" w:color="auto"/>
          </w:divBdr>
        </w:div>
        <w:div w:id="2136436498">
          <w:marLeft w:val="0"/>
          <w:marRight w:val="0"/>
          <w:marTop w:val="0"/>
          <w:marBottom w:val="0"/>
          <w:divBdr>
            <w:top w:val="none" w:sz="0" w:space="0" w:color="auto"/>
            <w:left w:val="none" w:sz="0" w:space="0" w:color="auto"/>
            <w:bottom w:val="none" w:sz="0" w:space="0" w:color="auto"/>
            <w:right w:val="none" w:sz="0" w:space="0" w:color="auto"/>
          </w:divBdr>
        </w:div>
      </w:divsChild>
    </w:div>
    <w:div w:id="1115368450">
      <w:bodyDiv w:val="1"/>
      <w:marLeft w:val="0"/>
      <w:marRight w:val="0"/>
      <w:marTop w:val="0"/>
      <w:marBottom w:val="0"/>
      <w:divBdr>
        <w:top w:val="none" w:sz="0" w:space="0" w:color="auto"/>
        <w:left w:val="none" w:sz="0" w:space="0" w:color="auto"/>
        <w:bottom w:val="none" w:sz="0" w:space="0" w:color="auto"/>
        <w:right w:val="none" w:sz="0" w:space="0" w:color="auto"/>
      </w:divBdr>
    </w:div>
    <w:div w:id="1160580575">
      <w:bodyDiv w:val="1"/>
      <w:marLeft w:val="0"/>
      <w:marRight w:val="0"/>
      <w:marTop w:val="0"/>
      <w:marBottom w:val="0"/>
      <w:divBdr>
        <w:top w:val="none" w:sz="0" w:space="0" w:color="auto"/>
        <w:left w:val="none" w:sz="0" w:space="0" w:color="auto"/>
        <w:bottom w:val="none" w:sz="0" w:space="0" w:color="auto"/>
        <w:right w:val="none" w:sz="0" w:space="0" w:color="auto"/>
      </w:divBdr>
    </w:div>
    <w:div w:id="1173377294">
      <w:bodyDiv w:val="1"/>
      <w:marLeft w:val="0"/>
      <w:marRight w:val="0"/>
      <w:marTop w:val="0"/>
      <w:marBottom w:val="0"/>
      <w:divBdr>
        <w:top w:val="none" w:sz="0" w:space="0" w:color="auto"/>
        <w:left w:val="none" w:sz="0" w:space="0" w:color="auto"/>
        <w:bottom w:val="none" w:sz="0" w:space="0" w:color="auto"/>
        <w:right w:val="none" w:sz="0" w:space="0" w:color="auto"/>
      </w:divBdr>
    </w:div>
    <w:div w:id="1896425064">
      <w:bodyDiv w:val="1"/>
      <w:marLeft w:val="0"/>
      <w:marRight w:val="0"/>
      <w:marTop w:val="0"/>
      <w:marBottom w:val="0"/>
      <w:divBdr>
        <w:top w:val="none" w:sz="0" w:space="0" w:color="auto"/>
        <w:left w:val="none" w:sz="0" w:space="0" w:color="auto"/>
        <w:bottom w:val="none" w:sz="0" w:space="0" w:color="auto"/>
        <w:right w:val="none" w:sz="0" w:space="0" w:color="auto"/>
      </w:divBdr>
      <w:divsChild>
        <w:div w:id="13464359">
          <w:marLeft w:val="0"/>
          <w:marRight w:val="0"/>
          <w:marTop w:val="0"/>
          <w:marBottom w:val="0"/>
          <w:divBdr>
            <w:top w:val="none" w:sz="0" w:space="0" w:color="auto"/>
            <w:left w:val="none" w:sz="0" w:space="0" w:color="auto"/>
            <w:bottom w:val="none" w:sz="0" w:space="0" w:color="auto"/>
            <w:right w:val="none" w:sz="0" w:space="0" w:color="auto"/>
          </w:divBdr>
        </w:div>
        <w:div w:id="28843573">
          <w:marLeft w:val="0"/>
          <w:marRight w:val="0"/>
          <w:marTop w:val="0"/>
          <w:marBottom w:val="0"/>
          <w:divBdr>
            <w:top w:val="none" w:sz="0" w:space="0" w:color="auto"/>
            <w:left w:val="none" w:sz="0" w:space="0" w:color="auto"/>
            <w:bottom w:val="none" w:sz="0" w:space="0" w:color="auto"/>
            <w:right w:val="none" w:sz="0" w:space="0" w:color="auto"/>
          </w:divBdr>
        </w:div>
        <w:div w:id="35351269">
          <w:marLeft w:val="0"/>
          <w:marRight w:val="0"/>
          <w:marTop w:val="0"/>
          <w:marBottom w:val="0"/>
          <w:divBdr>
            <w:top w:val="none" w:sz="0" w:space="0" w:color="auto"/>
            <w:left w:val="none" w:sz="0" w:space="0" w:color="auto"/>
            <w:bottom w:val="none" w:sz="0" w:space="0" w:color="auto"/>
            <w:right w:val="none" w:sz="0" w:space="0" w:color="auto"/>
          </w:divBdr>
        </w:div>
        <w:div w:id="44061783">
          <w:marLeft w:val="0"/>
          <w:marRight w:val="0"/>
          <w:marTop w:val="0"/>
          <w:marBottom w:val="0"/>
          <w:divBdr>
            <w:top w:val="none" w:sz="0" w:space="0" w:color="auto"/>
            <w:left w:val="none" w:sz="0" w:space="0" w:color="auto"/>
            <w:bottom w:val="none" w:sz="0" w:space="0" w:color="auto"/>
            <w:right w:val="none" w:sz="0" w:space="0" w:color="auto"/>
          </w:divBdr>
        </w:div>
        <w:div w:id="100029406">
          <w:marLeft w:val="0"/>
          <w:marRight w:val="0"/>
          <w:marTop w:val="0"/>
          <w:marBottom w:val="0"/>
          <w:divBdr>
            <w:top w:val="none" w:sz="0" w:space="0" w:color="auto"/>
            <w:left w:val="none" w:sz="0" w:space="0" w:color="auto"/>
            <w:bottom w:val="none" w:sz="0" w:space="0" w:color="auto"/>
            <w:right w:val="none" w:sz="0" w:space="0" w:color="auto"/>
          </w:divBdr>
        </w:div>
        <w:div w:id="208109485">
          <w:marLeft w:val="0"/>
          <w:marRight w:val="0"/>
          <w:marTop w:val="0"/>
          <w:marBottom w:val="0"/>
          <w:divBdr>
            <w:top w:val="none" w:sz="0" w:space="0" w:color="auto"/>
            <w:left w:val="none" w:sz="0" w:space="0" w:color="auto"/>
            <w:bottom w:val="none" w:sz="0" w:space="0" w:color="auto"/>
            <w:right w:val="none" w:sz="0" w:space="0" w:color="auto"/>
          </w:divBdr>
        </w:div>
        <w:div w:id="318581912">
          <w:marLeft w:val="0"/>
          <w:marRight w:val="0"/>
          <w:marTop w:val="0"/>
          <w:marBottom w:val="0"/>
          <w:divBdr>
            <w:top w:val="none" w:sz="0" w:space="0" w:color="auto"/>
            <w:left w:val="none" w:sz="0" w:space="0" w:color="auto"/>
            <w:bottom w:val="none" w:sz="0" w:space="0" w:color="auto"/>
            <w:right w:val="none" w:sz="0" w:space="0" w:color="auto"/>
          </w:divBdr>
        </w:div>
        <w:div w:id="418480124">
          <w:marLeft w:val="0"/>
          <w:marRight w:val="0"/>
          <w:marTop w:val="0"/>
          <w:marBottom w:val="0"/>
          <w:divBdr>
            <w:top w:val="none" w:sz="0" w:space="0" w:color="auto"/>
            <w:left w:val="none" w:sz="0" w:space="0" w:color="auto"/>
            <w:bottom w:val="none" w:sz="0" w:space="0" w:color="auto"/>
            <w:right w:val="none" w:sz="0" w:space="0" w:color="auto"/>
          </w:divBdr>
        </w:div>
        <w:div w:id="423965565">
          <w:marLeft w:val="0"/>
          <w:marRight w:val="0"/>
          <w:marTop w:val="0"/>
          <w:marBottom w:val="0"/>
          <w:divBdr>
            <w:top w:val="none" w:sz="0" w:space="0" w:color="auto"/>
            <w:left w:val="none" w:sz="0" w:space="0" w:color="auto"/>
            <w:bottom w:val="none" w:sz="0" w:space="0" w:color="auto"/>
            <w:right w:val="none" w:sz="0" w:space="0" w:color="auto"/>
          </w:divBdr>
        </w:div>
        <w:div w:id="581987445">
          <w:marLeft w:val="0"/>
          <w:marRight w:val="0"/>
          <w:marTop w:val="0"/>
          <w:marBottom w:val="0"/>
          <w:divBdr>
            <w:top w:val="none" w:sz="0" w:space="0" w:color="auto"/>
            <w:left w:val="none" w:sz="0" w:space="0" w:color="auto"/>
            <w:bottom w:val="none" w:sz="0" w:space="0" w:color="auto"/>
            <w:right w:val="none" w:sz="0" w:space="0" w:color="auto"/>
          </w:divBdr>
        </w:div>
        <w:div w:id="938102876">
          <w:marLeft w:val="0"/>
          <w:marRight w:val="0"/>
          <w:marTop w:val="0"/>
          <w:marBottom w:val="0"/>
          <w:divBdr>
            <w:top w:val="none" w:sz="0" w:space="0" w:color="auto"/>
            <w:left w:val="none" w:sz="0" w:space="0" w:color="auto"/>
            <w:bottom w:val="none" w:sz="0" w:space="0" w:color="auto"/>
            <w:right w:val="none" w:sz="0" w:space="0" w:color="auto"/>
          </w:divBdr>
        </w:div>
        <w:div w:id="1012297518">
          <w:marLeft w:val="0"/>
          <w:marRight w:val="0"/>
          <w:marTop w:val="0"/>
          <w:marBottom w:val="0"/>
          <w:divBdr>
            <w:top w:val="none" w:sz="0" w:space="0" w:color="auto"/>
            <w:left w:val="none" w:sz="0" w:space="0" w:color="auto"/>
            <w:bottom w:val="none" w:sz="0" w:space="0" w:color="auto"/>
            <w:right w:val="none" w:sz="0" w:space="0" w:color="auto"/>
          </w:divBdr>
        </w:div>
        <w:div w:id="1029767733">
          <w:marLeft w:val="0"/>
          <w:marRight w:val="0"/>
          <w:marTop w:val="0"/>
          <w:marBottom w:val="0"/>
          <w:divBdr>
            <w:top w:val="none" w:sz="0" w:space="0" w:color="auto"/>
            <w:left w:val="none" w:sz="0" w:space="0" w:color="auto"/>
            <w:bottom w:val="none" w:sz="0" w:space="0" w:color="auto"/>
            <w:right w:val="none" w:sz="0" w:space="0" w:color="auto"/>
          </w:divBdr>
        </w:div>
        <w:div w:id="1042288436">
          <w:marLeft w:val="0"/>
          <w:marRight w:val="0"/>
          <w:marTop w:val="0"/>
          <w:marBottom w:val="0"/>
          <w:divBdr>
            <w:top w:val="none" w:sz="0" w:space="0" w:color="auto"/>
            <w:left w:val="none" w:sz="0" w:space="0" w:color="auto"/>
            <w:bottom w:val="none" w:sz="0" w:space="0" w:color="auto"/>
            <w:right w:val="none" w:sz="0" w:space="0" w:color="auto"/>
          </w:divBdr>
        </w:div>
        <w:div w:id="1062825617">
          <w:marLeft w:val="0"/>
          <w:marRight w:val="0"/>
          <w:marTop w:val="0"/>
          <w:marBottom w:val="0"/>
          <w:divBdr>
            <w:top w:val="none" w:sz="0" w:space="0" w:color="auto"/>
            <w:left w:val="none" w:sz="0" w:space="0" w:color="auto"/>
            <w:bottom w:val="none" w:sz="0" w:space="0" w:color="auto"/>
            <w:right w:val="none" w:sz="0" w:space="0" w:color="auto"/>
          </w:divBdr>
        </w:div>
        <w:div w:id="1064914305">
          <w:marLeft w:val="0"/>
          <w:marRight w:val="0"/>
          <w:marTop w:val="0"/>
          <w:marBottom w:val="0"/>
          <w:divBdr>
            <w:top w:val="none" w:sz="0" w:space="0" w:color="auto"/>
            <w:left w:val="none" w:sz="0" w:space="0" w:color="auto"/>
            <w:bottom w:val="none" w:sz="0" w:space="0" w:color="auto"/>
            <w:right w:val="none" w:sz="0" w:space="0" w:color="auto"/>
          </w:divBdr>
        </w:div>
        <w:div w:id="1133209175">
          <w:marLeft w:val="0"/>
          <w:marRight w:val="0"/>
          <w:marTop w:val="0"/>
          <w:marBottom w:val="0"/>
          <w:divBdr>
            <w:top w:val="none" w:sz="0" w:space="0" w:color="auto"/>
            <w:left w:val="none" w:sz="0" w:space="0" w:color="auto"/>
            <w:bottom w:val="none" w:sz="0" w:space="0" w:color="auto"/>
            <w:right w:val="none" w:sz="0" w:space="0" w:color="auto"/>
          </w:divBdr>
        </w:div>
        <w:div w:id="1184978543">
          <w:marLeft w:val="0"/>
          <w:marRight w:val="0"/>
          <w:marTop w:val="0"/>
          <w:marBottom w:val="0"/>
          <w:divBdr>
            <w:top w:val="none" w:sz="0" w:space="0" w:color="auto"/>
            <w:left w:val="none" w:sz="0" w:space="0" w:color="auto"/>
            <w:bottom w:val="none" w:sz="0" w:space="0" w:color="auto"/>
            <w:right w:val="none" w:sz="0" w:space="0" w:color="auto"/>
          </w:divBdr>
        </w:div>
        <w:div w:id="1371343786">
          <w:marLeft w:val="0"/>
          <w:marRight w:val="0"/>
          <w:marTop w:val="0"/>
          <w:marBottom w:val="0"/>
          <w:divBdr>
            <w:top w:val="none" w:sz="0" w:space="0" w:color="auto"/>
            <w:left w:val="none" w:sz="0" w:space="0" w:color="auto"/>
            <w:bottom w:val="none" w:sz="0" w:space="0" w:color="auto"/>
            <w:right w:val="none" w:sz="0" w:space="0" w:color="auto"/>
          </w:divBdr>
        </w:div>
        <w:div w:id="1385907638">
          <w:marLeft w:val="0"/>
          <w:marRight w:val="0"/>
          <w:marTop w:val="0"/>
          <w:marBottom w:val="0"/>
          <w:divBdr>
            <w:top w:val="none" w:sz="0" w:space="0" w:color="auto"/>
            <w:left w:val="none" w:sz="0" w:space="0" w:color="auto"/>
            <w:bottom w:val="none" w:sz="0" w:space="0" w:color="auto"/>
            <w:right w:val="none" w:sz="0" w:space="0" w:color="auto"/>
          </w:divBdr>
        </w:div>
        <w:div w:id="1442528488">
          <w:marLeft w:val="0"/>
          <w:marRight w:val="0"/>
          <w:marTop w:val="0"/>
          <w:marBottom w:val="0"/>
          <w:divBdr>
            <w:top w:val="none" w:sz="0" w:space="0" w:color="auto"/>
            <w:left w:val="none" w:sz="0" w:space="0" w:color="auto"/>
            <w:bottom w:val="none" w:sz="0" w:space="0" w:color="auto"/>
            <w:right w:val="none" w:sz="0" w:space="0" w:color="auto"/>
          </w:divBdr>
        </w:div>
        <w:div w:id="1455250199">
          <w:marLeft w:val="0"/>
          <w:marRight w:val="0"/>
          <w:marTop w:val="0"/>
          <w:marBottom w:val="0"/>
          <w:divBdr>
            <w:top w:val="none" w:sz="0" w:space="0" w:color="auto"/>
            <w:left w:val="none" w:sz="0" w:space="0" w:color="auto"/>
            <w:bottom w:val="none" w:sz="0" w:space="0" w:color="auto"/>
            <w:right w:val="none" w:sz="0" w:space="0" w:color="auto"/>
          </w:divBdr>
        </w:div>
        <w:div w:id="1706831469">
          <w:marLeft w:val="0"/>
          <w:marRight w:val="0"/>
          <w:marTop w:val="0"/>
          <w:marBottom w:val="0"/>
          <w:divBdr>
            <w:top w:val="none" w:sz="0" w:space="0" w:color="auto"/>
            <w:left w:val="none" w:sz="0" w:space="0" w:color="auto"/>
            <w:bottom w:val="none" w:sz="0" w:space="0" w:color="auto"/>
            <w:right w:val="none" w:sz="0" w:space="0" w:color="auto"/>
          </w:divBdr>
        </w:div>
        <w:div w:id="1726686626">
          <w:marLeft w:val="0"/>
          <w:marRight w:val="0"/>
          <w:marTop w:val="0"/>
          <w:marBottom w:val="0"/>
          <w:divBdr>
            <w:top w:val="none" w:sz="0" w:space="0" w:color="auto"/>
            <w:left w:val="none" w:sz="0" w:space="0" w:color="auto"/>
            <w:bottom w:val="none" w:sz="0" w:space="0" w:color="auto"/>
            <w:right w:val="none" w:sz="0" w:space="0" w:color="auto"/>
          </w:divBdr>
        </w:div>
        <w:div w:id="1876261720">
          <w:marLeft w:val="0"/>
          <w:marRight w:val="0"/>
          <w:marTop w:val="0"/>
          <w:marBottom w:val="0"/>
          <w:divBdr>
            <w:top w:val="none" w:sz="0" w:space="0" w:color="auto"/>
            <w:left w:val="none" w:sz="0" w:space="0" w:color="auto"/>
            <w:bottom w:val="none" w:sz="0" w:space="0" w:color="auto"/>
            <w:right w:val="none" w:sz="0" w:space="0" w:color="auto"/>
          </w:divBdr>
        </w:div>
        <w:div w:id="2084449308">
          <w:marLeft w:val="0"/>
          <w:marRight w:val="0"/>
          <w:marTop w:val="0"/>
          <w:marBottom w:val="0"/>
          <w:divBdr>
            <w:top w:val="none" w:sz="0" w:space="0" w:color="auto"/>
            <w:left w:val="none" w:sz="0" w:space="0" w:color="auto"/>
            <w:bottom w:val="none" w:sz="0" w:space="0" w:color="auto"/>
            <w:right w:val="none" w:sz="0" w:space="0" w:color="auto"/>
          </w:divBdr>
        </w:div>
        <w:div w:id="2144421196">
          <w:marLeft w:val="0"/>
          <w:marRight w:val="0"/>
          <w:marTop w:val="0"/>
          <w:marBottom w:val="0"/>
          <w:divBdr>
            <w:top w:val="none" w:sz="0" w:space="0" w:color="auto"/>
            <w:left w:val="none" w:sz="0" w:space="0" w:color="auto"/>
            <w:bottom w:val="none" w:sz="0" w:space="0" w:color="auto"/>
            <w:right w:val="none" w:sz="0" w:space="0" w:color="auto"/>
          </w:divBdr>
        </w:div>
        <w:div w:id="214442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hyperlink" Target="https://www.ena.org.nz/dmsdocument/151"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ena.org.nz/news-and-events/news/why-the-low-fixed-charge-regulations-should-be-removed/"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ena.org.nz/dmsdocument/39"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www.mbie.govt.nz/info-services/sectors-industries/energy/energy-data-modelling/statistics/prices/electricity-prices/documentlibrary/Quarterly%20Survey%20of%20Domestic%20Electricity%20Prices%20as%20at%2015%20November%202013.xlsx" TargetMode="External"/><Relationship Id="rId13" Type="http://schemas.openxmlformats.org/officeDocument/2006/relationships/hyperlink" Target="https://s3.ap-southeast-2.amazonaws.com/hdp.au.prod.app.vic-engage.files/7415/0267/4425/Retail_Energy_Review_-_Final_Report.pdf" TargetMode="External"/><Relationship Id="rId18" Type="http://schemas.openxmlformats.org/officeDocument/2006/relationships/hyperlink" Target="https://www.mbie.govt.nz/info-services/sectors-industries/energy/electricity-price-review/consultation/first-report.pdf" TargetMode="External"/><Relationship Id="rId26" Type="http://schemas.openxmlformats.org/officeDocument/2006/relationships/hyperlink" Target="https://www.trustpower.co.nz/-/media/Reports/TPL23495-Trust-Power-AR-2018_FA3-WEB_SP.ashx" TargetMode="External"/><Relationship Id="rId3" Type="http://schemas.openxmlformats.org/officeDocument/2006/relationships/hyperlink" Target="https://www.emi.ea.govt.nz/Retail/Reports/R_MST_C?ParentCompany=N&amp;seriesFilter=&amp;_si=_dr_ParentCompany|Y,v|4" TargetMode="External"/><Relationship Id="rId21" Type="http://schemas.openxmlformats.org/officeDocument/2006/relationships/hyperlink" Target="https://www.ea.govt.nz/monitoring/enquiries-reviews-and-investigations/2017/review-of-fixed-price-variable-volume-commercial-offers/" TargetMode="External"/><Relationship Id="rId7" Type="http://schemas.openxmlformats.org/officeDocument/2006/relationships/hyperlink" Target="https://www.emi.ea.govt.nz/Retail/Reports/W4TZQL?RegionType=NWK_REPORTING_REGION&amp;_si=tg|residential-savings,v|3" TargetMode="External"/><Relationship Id="rId12" Type="http://schemas.openxmlformats.org/officeDocument/2006/relationships/hyperlink" Target="https://www.ofgem.gov.uk/publications-and-updates/eight-times-many-people-get-better-deal-ofgem-s-collective-switch-trial" TargetMode="External"/><Relationship Id="rId17" Type="http://schemas.openxmlformats.org/officeDocument/2006/relationships/hyperlink" Target="https://www.ea.govt.nz/dmsdocument/19225-appendix-a-report-from-monitoring-analytics" TargetMode="External"/><Relationship Id="rId25" Type="http://schemas.openxmlformats.org/officeDocument/2006/relationships/hyperlink" Target="https://contact.co.nz/-/media/contact/pdfs/about-us/investor-centre/media-releases/annual-report-2018-contact-energy.ashx" TargetMode="External"/><Relationship Id="rId2" Type="http://schemas.openxmlformats.org/officeDocument/2006/relationships/hyperlink" Target="https://www.mbie.govt.nz/info-services/sectors-industries/energy/electricity-price-review/consultation/first-report.pdf" TargetMode="External"/><Relationship Id="rId16" Type="http://schemas.openxmlformats.org/officeDocument/2006/relationships/hyperlink" Target="https://www.ofgem.gov.uk/system/files/docs/2016/08/wholesale_power_market_liquidity_annual_report_2016.pdf" TargetMode="External"/><Relationship Id="rId20" Type="http://schemas.openxmlformats.org/officeDocument/2006/relationships/hyperlink" Target="https://www.ea.govt.nz/dmsdocument/23186-letter-from-tair-to-ea-gm-market-performance-pir-of-save-protection-scheme" TargetMode="External"/><Relationship Id="rId1" Type="http://schemas.openxmlformats.org/officeDocument/2006/relationships/hyperlink" Target="https://www.ea.govt.nz/dmsdocument/20059-nzier-effects-of-distribution-charges-on-household-investment-in-solar" TargetMode="External"/><Relationship Id="rId6" Type="http://schemas.openxmlformats.org/officeDocument/2006/relationships/hyperlink" Target="https://www.ea.govt.nz/dmsdocument/23818" TargetMode="External"/><Relationship Id="rId11" Type="http://schemas.openxmlformats.org/officeDocument/2006/relationships/hyperlink" Target="https://www.ofgem.gov.uk/publications-and-updates/ofgem-proposes-price-cap-give-11-million-customers-fairer-deal-their-energy" TargetMode="External"/><Relationship Id="rId24" Type="http://schemas.openxmlformats.org/officeDocument/2006/relationships/hyperlink" Target="https://gesakentico.blob.core.windows.net/sitecontent/genesis/media/new-library-(dec-2017)/about_us/investor/pdfs/2018/full%20year/ge-annual-report-29aug-2018.pdf" TargetMode="External"/><Relationship Id="rId5" Type="http://schemas.openxmlformats.org/officeDocument/2006/relationships/hyperlink" Target="https://www.emi.ea.govt.nz/Retail/Reports/IR0U5M?DateTo=20171231&amp;RegionType=ISLAND_1&amp;_si=tg|residential-savings,_dr_DateTo|20171231,_dr_RegionType|ISLAND_1,v|4" TargetMode="External"/><Relationship Id="rId15" Type="http://schemas.openxmlformats.org/officeDocument/2006/relationships/hyperlink" Target="https://www.ea.govt.nz/dmsdocument/21695-ecotricity" TargetMode="External"/><Relationship Id="rId23" Type="http://schemas.openxmlformats.org/officeDocument/2006/relationships/hyperlink" Target="https://issuu.com/mercurynz/docs/20180821_mercury_annual_report_2?e=25554184/64127255" TargetMode="External"/><Relationship Id="rId28" Type="http://schemas.openxmlformats.org/officeDocument/2006/relationships/hyperlink" Target="https://www.nzherald.co.nz/nz/news/article.cfm?c_id=1&amp;objectid=12124631" TargetMode="External"/><Relationship Id="rId10" Type="http://schemas.openxmlformats.org/officeDocument/2006/relationships/hyperlink" Target="https://www.mbie.govt.nz/info-services/sectors-industries/energy/electricity-price-review/consultation/first-report.pdf" TargetMode="External"/><Relationship Id="rId19" Type="http://schemas.openxmlformats.org/officeDocument/2006/relationships/hyperlink" Target="https://www.ofgem.gov.uk/system/files/docs/2016/08/wholesale_power_market_liquidity_annual_report_2016.pdf" TargetMode="External"/><Relationship Id="rId4" Type="http://schemas.openxmlformats.org/officeDocument/2006/relationships/hyperlink" Target="https://www.ea.govt.nz/dmsdocument/23817-ecotricity" TargetMode="External"/><Relationship Id="rId9" Type="http://schemas.openxmlformats.org/officeDocument/2006/relationships/hyperlink" Target="https://engage.vic.gov.au/application/files/7415/0267/4425/Retail_Energy_Review_-_Final_Report.pdf" TargetMode="External"/><Relationship Id="rId14" Type="http://schemas.openxmlformats.org/officeDocument/2006/relationships/hyperlink" Target="https://www.ea.govt.nz/dmsdocument/23823-pioneer-energy" TargetMode="External"/><Relationship Id="rId22" Type="http://schemas.openxmlformats.org/officeDocument/2006/relationships/hyperlink" Target="https://www.meridianenergy.co.nz/assets/Investors/Reports-and-presentations/Annual-results-and-reports/2018/95098799a5/Meridian-Energy-Integrated-Report-for-the-year-ended-30-June-2018.pdf" TargetMode="External"/><Relationship Id="rId27" Type="http://schemas.openxmlformats.org/officeDocument/2006/relationships/hyperlink" Target="https://www.productivity.govt.nz/sites/default/files/Productivity%20Commission_Low-emissions%20economy_Final%20Report_FINAL_2.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Sheet2!$C$3:$E$3</c:f>
              <c:strCache>
                <c:ptCount val="3"/>
                <c:pt idx="0">
                  <c:v>NZ ASX</c:v>
                </c:pt>
                <c:pt idx="1">
                  <c:v>Australia ASX</c:v>
                </c:pt>
                <c:pt idx="2">
                  <c:v>PJM</c:v>
                </c:pt>
              </c:strCache>
            </c:strRef>
          </c:cat>
          <c:val>
            <c:numRef>
              <c:f>Sheet2!$C$4:$E$4</c:f>
              <c:numCache>
                <c:formatCode>General</c:formatCode>
                <c:ptCount val="3"/>
                <c:pt idx="0">
                  <c:v>30</c:v>
                </c:pt>
                <c:pt idx="1">
                  <c:v>300</c:v>
                </c:pt>
                <c:pt idx="2">
                  <c:v>3000</c:v>
                </c:pt>
              </c:numCache>
            </c:numRef>
          </c:val>
          <c:extLst>
            <c:ext xmlns:c16="http://schemas.microsoft.com/office/drawing/2014/chart" uri="{C3380CC4-5D6E-409C-BE32-E72D297353CC}">
              <c16:uniqueId val="{00000000-9EE0-494A-B58E-930BF982CE01}"/>
            </c:ext>
          </c:extLst>
        </c:ser>
        <c:dLbls>
          <c:showLegendKey val="0"/>
          <c:showVal val="0"/>
          <c:showCatName val="0"/>
          <c:showSerName val="0"/>
          <c:showPercent val="0"/>
          <c:showBubbleSize val="0"/>
        </c:dLbls>
        <c:gapWidth val="219"/>
        <c:overlap val="-27"/>
        <c:axId val="-1851714752"/>
        <c:axId val="-1929226064"/>
      </c:barChart>
      <c:catAx>
        <c:axId val="-18517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929226064"/>
        <c:crosses val="autoZero"/>
        <c:auto val="1"/>
        <c:lblAlgn val="ctr"/>
        <c:lblOffset val="100"/>
        <c:noMultiLvlLbl val="0"/>
      </c:catAx>
      <c:valAx>
        <c:axId val="-1929226064"/>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85171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0.20625</cdr:x>
      <cdr:y>0.78819</cdr:y>
    </cdr:from>
    <cdr:to>
      <cdr:x>0.3</cdr:x>
      <cdr:y>0.85764</cdr:y>
    </cdr:to>
    <cdr:sp macro="" textlink="">
      <cdr:nvSpPr>
        <cdr:cNvPr id="2" name="TextBox 1"/>
        <cdr:cNvSpPr txBox="1"/>
      </cdr:nvSpPr>
      <cdr:spPr>
        <a:xfrm xmlns:a="http://schemas.openxmlformats.org/drawingml/2006/main">
          <a:off x="942975" y="2162175"/>
          <a:ext cx="4286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30%</a:t>
          </a:r>
        </a:p>
      </cdr:txBody>
    </cdr:sp>
  </cdr:relSizeAnchor>
  <cdr:relSizeAnchor xmlns:cdr="http://schemas.openxmlformats.org/drawingml/2006/chartDrawing">
    <cdr:from>
      <cdr:x>0.4875</cdr:x>
      <cdr:y>0.71875</cdr:y>
    </cdr:from>
    <cdr:to>
      <cdr:x>0.61458</cdr:x>
      <cdr:y>0.80903</cdr:y>
    </cdr:to>
    <cdr:sp macro="" textlink="">
      <cdr:nvSpPr>
        <cdr:cNvPr id="3" name="TextBox 2"/>
        <cdr:cNvSpPr txBox="1"/>
      </cdr:nvSpPr>
      <cdr:spPr>
        <a:xfrm xmlns:a="http://schemas.openxmlformats.org/drawingml/2006/main">
          <a:off x="2228850" y="1971675"/>
          <a:ext cx="581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300%</a:t>
          </a:r>
        </a:p>
      </cdr:txBody>
    </cdr:sp>
  </cdr:relSizeAnchor>
  <cdr:relSizeAnchor xmlns:cdr="http://schemas.openxmlformats.org/drawingml/2006/chartDrawing">
    <cdr:from>
      <cdr:x>0.67083</cdr:x>
      <cdr:y>0.05556</cdr:y>
    </cdr:from>
    <cdr:to>
      <cdr:x>0.81042</cdr:x>
      <cdr:y>0.16667</cdr:y>
    </cdr:to>
    <cdr:sp macro="" textlink="">
      <cdr:nvSpPr>
        <cdr:cNvPr id="4" name="TextBox 3"/>
        <cdr:cNvSpPr txBox="1"/>
      </cdr:nvSpPr>
      <cdr:spPr>
        <a:xfrm xmlns:a="http://schemas.openxmlformats.org/drawingml/2006/main">
          <a:off x="3067050" y="152400"/>
          <a:ext cx="6381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3000%</a:t>
          </a:r>
        </a:p>
      </cdr:txBody>
    </cdr:sp>
  </cdr:relSizeAnchor>
  <cdr:relSizeAnchor xmlns:cdr="http://schemas.openxmlformats.org/drawingml/2006/chartDrawing">
    <cdr:from>
      <cdr:x>0.11667</cdr:x>
      <cdr:y>0.03819</cdr:y>
    </cdr:from>
    <cdr:to>
      <cdr:x>0.62292</cdr:x>
      <cdr:y>0.22917</cdr:y>
    </cdr:to>
    <cdr:sp macro="" textlink="">
      <cdr:nvSpPr>
        <cdr:cNvPr id="5" name="TextBox 4"/>
        <cdr:cNvSpPr txBox="1"/>
      </cdr:nvSpPr>
      <cdr:spPr>
        <a:xfrm xmlns:a="http://schemas.openxmlformats.org/drawingml/2006/main">
          <a:off x="533401" y="104775"/>
          <a:ext cx="2314574"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b="1"/>
            <a:t>Volumes</a:t>
          </a:r>
          <a:r>
            <a:rPr lang="en-NZ" sz="1100" b="1" baseline="0"/>
            <a:t> traded on hedge markets relative to physical volumes</a:t>
          </a:r>
          <a:endParaRPr lang="en-NZ"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C7B6B2A49DAC499E19260CA56A9F31" ma:contentTypeVersion="4" ma:contentTypeDescription="Create a new document." ma:contentTypeScope="" ma:versionID="243e8ce9e5291d84f4e774777b271c68">
  <xsd:schema xmlns:xsd="http://www.w3.org/2001/XMLSchema" xmlns:xs="http://www.w3.org/2001/XMLSchema" xmlns:p="http://schemas.microsoft.com/office/2006/metadata/properties" xmlns:ns2="59e59062-6395-466c-b076-d49915149034" targetNamespace="http://schemas.microsoft.com/office/2006/metadata/properties" ma:root="true" ma:fieldsID="888fe5206a96b4ae5f585438eb31b2f2" ns2:_="">
    <xsd:import namespace="59e59062-6395-466c-b076-d4991514903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59062-6395-466c-b076-d4991514903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84517-4228-4196-8A0D-333B2CCC5742}">
  <ds:schemaRefs>
    <ds:schemaRef ds:uri="http://schemas.microsoft.com/office/2006/metadata/properties"/>
    <ds:schemaRef ds:uri="http://schemas.microsoft.com/office/2006/documentManagement/types"/>
    <ds:schemaRef ds:uri="http://purl.org/dc/terms/"/>
    <ds:schemaRef ds:uri="59e59062-6395-466c-b076-d49915149034"/>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D4C30E7-4FED-42EE-ABA4-D542C8BE2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59062-6395-466c-b076-d49915149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44D043-3B6D-48BD-9D51-D15D6CF41B06}">
  <ds:schemaRefs>
    <ds:schemaRef ds:uri="http://schemas.microsoft.com/sharepoint/v3/contenttype/forms"/>
  </ds:schemaRefs>
</ds:datastoreItem>
</file>

<file path=customXml/itemProps4.xml><?xml version="1.0" encoding="utf-8"?>
<ds:datastoreItem xmlns:ds="http://schemas.openxmlformats.org/officeDocument/2006/customXml" ds:itemID="{FD1FF436-FE4D-4932-A166-EAF218FC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51</Pages>
  <Words>13886</Words>
  <Characters>79152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Ministry of Economic Development</Company>
  <LinksUpToDate>false</LinksUpToDate>
  <CharactersWithSpaces>92853</CharactersWithSpaces>
  <SharedDoc>false</SharedDoc>
  <HLinks>
    <vt:vector size="174" baseType="variant">
      <vt:variant>
        <vt:i4>3932263</vt:i4>
      </vt:variant>
      <vt:variant>
        <vt:i4>3</vt:i4>
      </vt:variant>
      <vt:variant>
        <vt:i4>0</vt:i4>
      </vt:variant>
      <vt:variant>
        <vt:i4>5</vt:i4>
      </vt:variant>
      <vt:variant>
        <vt:lpwstr>https://www.ena.org.nz/news-and-events/news/why-the-low-fixed-charge-regulations-should-be-removed/</vt:lpwstr>
      </vt:variant>
      <vt:variant>
        <vt:lpwstr/>
      </vt:variant>
      <vt:variant>
        <vt:i4>65611</vt:i4>
      </vt:variant>
      <vt:variant>
        <vt:i4>0</vt:i4>
      </vt:variant>
      <vt:variant>
        <vt:i4>0</vt:i4>
      </vt:variant>
      <vt:variant>
        <vt:i4>5</vt:i4>
      </vt:variant>
      <vt:variant>
        <vt:lpwstr>https://www.ena.org.nz/dmsdocument/39</vt:lpwstr>
      </vt:variant>
      <vt:variant>
        <vt:lpwstr/>
      </vt:variant>
      <vt:variant>
        <vt:i4>5767179</vt:i4>
      </vt:variant>
      <vt:variant>
        <vt:i4>78</vt:i4>
      </vt:variant>
      <vt:variant>
        <vt:i4>0</vt:i4>
      </vt:variant>
      <vt:variant>
        <vt:i4>5</vt:i4>
      </vt:variant>
      <vt:variant>
        <vt:lpwstr>https://www.trustpower.co.nz/-/media/Reports/TPL23495-Trust-Power-AR-2018_FA3-WEB_SP.ashx</vt:lpwstr>
      </vt:variant>
      <vt:variant>
        <vt:lpwstr/>
      </vt:variant>
      <vt:variant>
        <vt:i4>5439557</vt:i4>
      </vt:variant>
      <vt:variant>
        <vt:i4>75</vt:i4>
      </vt:variant>
      <vt:variant>
        <vt:i4>0</vt:i4>
      </vt:variant>
      <vt:variant>
        <vt:i4>5</vt:i4>
      </vt:variant>
      <vt:variant>
        <vt:lpwstr>https://contact.co.nz/-/media/contact/pdfs/about-us/investor-centre/media-releases/annual-report-2018-contact-energy.ashx</vt:lpwstr>
      </vt:variant>
      <vt:variant>
        <vt:lpwstr/>
      </vt:variant>
      <vt:variant>
        <vt:i4>4849787</vt:i4>
      </vt:variant>
      <vt:variant>
        <vt:i4>72</vt:i4>
      </vt:variant>
      <vt:variant>
        <vt:i4>0</vt:i4>
      </vt:variant>
      <vt:variant>
        <vt:i4>5</vt:i4>
      </vt:variant>
      <vt:variant>
        <vt:lpwstr>https://gesakentico.blob.core.windows.net/sitecontent/genesis/media/new-library-(dec-2017)/about_us/investor/pdfs/2018/full year/ge-annual-report-29aug-2018.pdf</vt:lpwstr>
      </vt:variant>
      <vt:variant>
        <vt:lpwstr/>
      </vt:variant>
      <vt:variant>
        <vt:i4>8323194</vt:i4>
      </vt:variant>
      <vt:variant>
        <vt:i4>69</vt:i4>
      </vt:variant>
      <vt:variant>
        <vt:i4>0</vt:i4>
      </vt:variant>
      <vt:variant>
        <vt:i4>5</vt:i4>
      </vt:variant>
      <vt:variant>
        <vt:lpwstr>https://issuu.com/mercurynz/docs/20180821_mercury_annual_report_2?e=25554184/64127255</vt:lpwstr>
      </vt:variant>
      <vt:variant>
        <vt:lpwstr/>
      </vt:variant>
      <vt:variant>
        <vt:i4>5636179</vt:i4>
      </vt:variant>
      <vt:variant>
        <vt:i4>66</vt:i4>
      </vt:variant>
      <vt:variant>
        <vt:i4>0</vt:i4>
      </vt:variant>
      <vt:variant>
        <vt:i4>5</vt:i4>
      </vt:variant>
      <vt:variant>
        <vt:lpwstr>https://www.meridianenergy.co.nz/assets/Investors/Reports-and-presentations/Annual-results-and-reports/2018/95098799a5/Meridian-Energy-Integrated-Report-for-the-year-ended-30-June-2018.pdf</vt:lpwstr>
      </vt:variant>
      <vt:variant>
        <vt:lpwstr/>
      </vt:variant>
      <vt:variant>
        <vt:i4>1048654</vt:i4>
      </vt:variant>
      <vt:variant>
        <vt:i4>63</vt:i4>
      </vt:variant>
      <vt:variant>
        <vt:i4>0</vt:i4>
      </vt:variant>
      <vt:variant>
        <vt:i4>5</vt:i4>
      </vt:variant>
      <vt:variant>
        <vt:lpwstr>https://www.ea.govt.nz/monitoring/enquiries-reviews-and-investigations/2017/review-of-fixed-price-variable-volume-commercial-offers/</vt:lpwstr>
      </vt:variant>
      <vt:variant>
        <vt:lpwstr/>
      </vt:variant>
      <vt:variant>
        <vt:i4>6750316</vt:i4>
      </vt:variant>
      <vt:variant>
        <vt:i4>60</vt:i4>
      </vt:variant>
      <vt:variant>
        <vt:i4>0</vt:i4>
      </vt:variant>
      <vt:variant>
        <vt:i4>5</vt:i4>
      </vt:variant>
      <vt:variant>
        <vt:lpwstr>https://www.ea.govt.nz/dmsdocument/23186-letter-from-tair-to-ea-gm-market-performance-pir-of-save-protection-scheme</vt:lpwstr>
      </vt:variant>
      <vt:variant>
        <vt:lpwstr/>
      </vt:variant>
      <vt:variant>
        <vt:i4>7798881</vt:i4>
      </vt:variant>
      <vt:variant>
        <vt:i4>57</vt:i4>
      </vt:variant>
      <vt:variant>
        <vt:i4>0</vt:i4>
      </vt:variant>
      <vt:variant>
        <vt:i4>5</vt:i4>
      </vt:variant>
      <vt:variant>
        <vt:lpwstr>https://www.mbie.govt.nz/info-services/sectors-industries/energy/electricity-price-review/consultation/first-report.pdf</vt:lpwstr>
      </vt:variant>
      <vt:variant>
        <vt:lpwstr/>
      </vt:variant>
      <vt:variant>
        <vt:i4>1835083</vt:i4>
      </vt:variant>
      <vt:variant>
        <vt:i4>54</vt:i4>
      </vt:variant>
      <vt:variant>
        <vt:i4>0</vt:i4>
      </vt:variant>
      <vt:variant>
        <vt:i4>5</vt:i4>
      </vt:variant>
      <vt:variant>
        <vt:lpwstr>https://www.ofgem.gov.uk/system/files/docs/2016/08/wholesale_power_market_liquidity_annual_report_2016.pdf</vt:lpwstr>
      </vt:variant>
      <vt:variant>
        <vt:lpwstr/>
      </vt:variant>
      <vt:variant>
        <vt:i4>7798881</vt:i4>
      </vt:variant>
      <vt:variant>
        <vt:i4>51</vt:i4>
      </vt:variant>
      <vt:variant>
        <vt:i4>0</vt:i4>
      </vt:variant>
      <vt:variant>
        <vt:i4>5</vt:i4>
      </vt:variant>
      <vt:variant>
        <vt:lpwstr>https://www.mbie.govt.nz/info-services/sectors-industries/energy/electricity-price-review/consultation/first-report.pdf</vt:lpwstr>
      </vt:variant>
      <vt:variant>
        <vt:lpwstr/>
      </vt:variant>
      <vt:variant>
        <vt:i4>917576</vt:i4>
      </vt:variant>
      <vt:variant>
        <vt:i4>48</vt:i4>
      </vt:variant>
      <vt:variant>
        <vt:i4>0</vt:i4>
      </vt:variant>
      <vt:variant>
        <vt:i4>5</vt:i4>
      </vt:variant>
      <vt:variant>
        <vt:lpwstr>https://www.ea.govt.nz/dmsdocument/19225-appendix-a-report-from-monitoring-analytics</vt:lpwstr>
      </vt:variant>
      <vt:variant>
        <vt:lpwstr/>
      </vt:variant>
      <vt:variant>
        <vt:i4>1835083</vt:i4>
      </vt:variant>
      <vt:variant>
        <vt:i4>45</vt:i4>
      </vt:variant>
      <vt:variant>
        <vt:i4>0</vt:i4>
      </vt:variant>
      <vt:variant>
        <vt:i4>5</vt:i4>
      </vt:variant>
      <vt:variant>
        <vt:lpwstr>https://www.ofgem.gov.uk/system/files/docs/2016/08/wholesale_power_market_liquidity_annual_report_2016.pdf</vt:lpwstr>
      </vt:variant>
      <vt:variant>
        <vt:lpwstr/>
      </vt:variant>
      <vt:variant>
        <vt:i4>3014693</vt:i4>
      </vt:variant>
      <vt:variant>
        <vt:i4>42</vt:i4>
      </vt:variant>
      <vt:variant>
        <vt:i4>0</vt:i4>
      </vt:variant>
      <vt:variant>
        <vt:i4>5</vt:i4>
      </vt:variant>
      <vt:variant>
        <vt:lpwstr>https://www.ea.govt.nz/dmsdocument/21695-ecotricity</vt:lpwstr>
      </vt:variant>
      <vt:variant>
        <vt:lpwstr/>
      </vt:variant>
      <vt:variant>
        <vt:i4>2490472</vt:i4>
      </vt:variant>
      <vt:variant>
        <vt:i4>39</vt:i4>
      </vt:variant>
      <vt:variant>
        <vt:i4>0</vt:i4>
      </vt:variant>
      <vt:variant>
        <vt:i4>5</vt:i4>
      </vt:variant>
      <vt:variant>
        <vt:lpwstr>https://www.ea.govt.nz/dmsdocument/23823-pioneer-energy</vt:lpwstr>
      </vt:variant>
      <vt:variant>
        <vt:lpwstr/>
      </vt:variant>
      <vt:variant>
        <vt:i4>7798881</vt:i4>
      </vt:variant>
      <vt:variant>
        <vt:i4>36</vt:i4>
      </vt:variant>
      <vt:variant>
        <vt:i4>0</vt:i4>
      </vt:variant>
      <vt:variant>
        <vt:i4>5</vt:i4>
      </vt:variant>
      <vt:variant>
        <vt:lpwstr>https://www.mbie.govt.nz/info-services/sectors-industries/energy/electricity-price-review/consultation/first-report.pdf</vt:lpwstr>
      </vt:variant>
      <vt:variant>
        <vt:lpwstr/>
      </vt:variant>
      <vt:variant>
        <vt:i4>5898302</vt:i4>
      </vt:variant>
      <vt:variant>
        <vt:i4>33</vt:i4>
      </vt:variant>
      <vt:variant>
        <vt:i4>0</vt:i4>
      </vt:variant>
      <vt:variant>
        <vt:i4>5</vt:i4>
      </vt:variant>
      <vt:variant>
        <vt:lpwstr>https://s3.ap-southeast-2.amazonaws.com/hdp.au.prod.app.vic-engage.files/7415/0267/4425/Retail_Energy_Review_-_Final_Report.pdf</vt:lpwstr>
      </vt:variant>
      <vt:variant>
        <vt:lpwstr/>
      </vt:variant>
      <vt:variant>
        <vt:i4>458828</vt:i4>
      </vt:variant>
      <vt:variant>
        <vt:i4>30</vt:i4>
      </vt:variant>
      <vt:variant>
        <vt:i4>0</vt:i4>
      </vt:variant>
      <vt:variant>
        <vt:i4>5</vt:i4>
      </vt:variant>
      <vt:variant>
        <vt:lpwstr>https://www.ofgem.gov.uk/publications-and-updates/eight-times-many-people-get-better-deal-ofgem-s-collective-switch-trial</vt:lpwstr>
      </vt:variant>
      <vt:variant>
        <vt:lpwstr/>
      </vt:variant>
      <vt:variant>
        <vt:i4>786527</vt:i4>
      </vt:variant>
      <vt:variant>
        <vt:i4>27</vt:i4>
      </vt:variant>
      <vt:variant>
        <vt:i4>0</vt:i4>
      </vt:variant>
      <vt:variant>
        <vt:i4>5</vt:i4>
      </vt:variant>
      <vt:variant>
        <vt:lpwstr>https://www.ofgem.gov.uk/publications-and-updates/ofgem-proposes-price-cap-give-11-million-customers-fairer-deal-their-energy</vt:lpwstr>
      </vt:variant>
      <vt:variant>
        <vt:lpwstr/>
      </vt:variant>
      <vt:variant>
        <vt:i4>7798881</vt:i4>
      </vt:variant>
      <vt:variant>
        <vt:i4>24</vt:i4>
      </vt:variant>
      <vt:variant>
        <vt:i4>0</vt:i4>
      </vt:variant>
      <vt:variant>
        <vt:i4>5</vt:i4>
      </vt:variant>
      <vt:variant>
        <vt:lpwstr>https://www.mbie.govt.nz/info-services/sectors-industries/energy/electricity-price-review/consultation/first-report.pdf</vt:lpwstr>
      </vt:variant>
      <vt:variant>
        <vt:lpwstr/>
      </vt:variant>
      <vt:variant>
        <vt:i4>8060994</vt:i4>
      </vt:variant>
      <vt:variant>
        <vt:i4>21</vt:i4>
      </vt:variant>
      <vt:variant>
        <vt:i4>0</vt:i4>
      </vt:variant>
      <vt:variant>
        <vt:i4>5</vt:i4>
      </vt:variant>
      <vt:variant>
        <vt:lpwstr>https://engage.vic.gov.au/application/files/7415/0267/4425/Retail_Energy_Review_-_Final_Report.pdf</vt:lpwstr>
      </vt:variant>
      <vt:variant>
        <vt:lpwstr/>
      </vt:variant>
      <vt:variant>
        <vt:i4>2621543</vt:i4>
      </vt:variant>
      <vt:variant>
        <vt:i4>18</vt:i4>
      </vt:variant>
      <vt:variant>
        <vt:i4>0</vt:i4>
      </vt:variant>
      <vt:variant>
        <vt:i4>5</vt:i4>
      </vt:variant>
      <vt:variant>
        <vt:lpwstr>http://www.mbie.govt.nz/info-services/sectors-industries/energy/energy-data-modelling/statistics/prices/electricity-prices/documentlibrary/Quarterly Survey of Domestic Electricity Prices as at 15 November 2013.xlsx</vt:lpwstr>
      </vt:variant>
      <vt:variant>
        <vt:lpwstr/>
      </vt:variant>
      <vt:variant>
        <vt:i4>655467</vt:i4>
      </vt:variant>
      <vt:variant>
        <vt:i4>15</vt:i4>
      </vt:variant>
      <vt:variant>
        <vt:i4>0</vt:i4>
      </vt:variant>
      <vt:variant>
        <vt:i4>5</vt:i4>
      </vt:variant>
      <vt:variant>
        <vt:lpwstr>https://www.emi.ea.govt.nz/Retail/Reports/W4TZQL?RegionType=NWK_REPORTING_REGION&amp;_si=tg|residential-savings,v|3</vt:lpwstr>
      </vt:variant>
      <vt:variant>
        <vt:lpwstr/>
      </vt:variant>
      <vt:variant>
        <vt:i4>4325397</vt:i4>
      </vt:variant>
      <vt:variant>
        <vt:i4>12</vt:i4>
      </vt:variant>
      <vt:variant>
        <vt:i4>0</vt:i4>
      </vt:variant>
      <vt:variant>
        <vt:i4>5</vt:i4>
      </vt:variant>
      <vt:variant>
        <vt:lpwstr>https://www.ea.govt.nz/dmsdocument/23818</vt:lpwstr>
      </vt:variant>
      <vt:variant>
        <vt:lpwstr/>
      </vt:variant>
      <vt:variant>
        <vt:i4>8192085</vt:i4>
      </vt:variant>
      <vt:variant>
        <vt:i4>9</vt:i4>
      </vt:variant>
      <vt:variant>
        <vt:i4>0</vt:i4>
      </vt:variant>
      <vt:variant>
        <vt:i4>5</vt:i4>
      </vt:variant>
      <vt:variant>
        <vt:lpwstr>https://www.emi.ea.govt.nz/Retail/Reports/IR0U5M?DateTo=20171231&amp;RegionType=ISLAND_1&amp;_si=tg|residential-savings,_dr_DateTo|20171231,_dr_RegionType|ISLAND_1,v|4</vt:lpwstr>
      </vt:variant>
      <vt:variant>
        <vt:lpwstr/>
      </vt:variant>
      <vt:variant>
        <vt:i4>2228271</vt:i4>
      </vt:variant>
      <vt:variant>
        <vt:i4>6</vt:i4>
      </vt:variant>
      <vt:variant>
        <vt:i4>0</vt:i4>
      </vt:variant>
      <vt:variant>
        <vt:i4>5</vt:i4>
      </vt:variant>
      <vt:variant>
        <vt:lpwstr>https://www.ea.govt.nz/dmsdocument/23817-ecotricity</vt:lpwstr>
      </vt:variant>
      <vt:variant>
        <vt:lpwstr/>
      </vt:variant>
      <vt:variant>
        <vt:i4>393330</vt:i4>
      </vt:variant>
      <vt:variant>
        <vt:i4>3</vt:i4>
      </vt:variant>
      <vt:variant>
        <vt:i4>0</vt:i4>
      </vt:variant>
      <vt:variant>
        <vt:i4>5</vt:i4>
      </vt:variant>
      <vt:variant>
        <vt:lpwstr>https://www.emi.ea.govt.nz/Retail/Reports/R_MST_C?ParentCompany=N&amp;seriesFilter=&amp;_si=_dr_ParentCompany|Y,v|4</vt:lpwstr>
      </vt:variant>
      <vt:variant>
        <vt:lpwstr/>
      </vt:variant>
      <vt:variant>
        <vt:i4>7798881</vt:i4>
      </vt:variant>
      <vt:variant>
        <vt:i4>0</vt:i4>
      </vt:variant>
      <vt:variant>
        <vt:i4>0</vt:i4>
      </vt:variant>
      <vt:variant>
        <vt:i4>5</vt:i4>
      </vt:variant>
      <vt:variant>
        <vt:lpwstr>https://www.mbie.govt.nz/info-services/sectors-industries/energy/electricity-price-review/consultation/first-report.pdf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Shahryar-Davies</dc:creator>
  <cp:keywords/>
  <cp:lastModifiedBy>Graeme J Peters</cp:lastModifiedBy>
  <cp:revision>342</cp:revision>
  <cp:lastPrinted>2018-10-23T03:40:00Z</cp:lastPrinted>
  <dcterms:created xsi:type="dcterms:W3CDTF">2018-10-20T02:05:00Z</dcterms:created>
  <dcterms:modified xsi:type="dcterms:W3CDTF">2018-10-23T03:40:00Z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0x010100C0C7B6B2A49DAC499E19260CA56A9F31</vt:lpwstr>
  </property>
</Properties>
</file>